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color w:val="1F497D" w:themeColor="text2"/>
          <w:sz w:val="28"/>
          <w:szCs w:val="28"/>
        </w:rPr>
      </w:pPr>
      <w:r>
        <w:rPr>
          <w:b/>
          <w:color w:val="1F497D" w:themeColor="text2"/>
          <w:sz w:val="28"/>
          <w:szCs w:val="28"/>
        </w:rPr>
        <w:t>Connecting Watershed Efforts in the Kings River Watershed</w:t>
      </w:r>
    </w:p>
    <w:p>
      <w:pPr>
        <w:pStyle w:val="NoSpacing"/>
        <w:jc w:val="center"/>
        <w:rPr>
          <w:b/>
          <w:b/>
          <w:color w:val="1F497D" w:themeColor="text2"/>
          <w:sz w:val="28"/>
          <w:szCs w:val="28"/>
        </w:rPr>
      </w:pPr>
      <w:r>
        <w:rPr>
          <w:b/>
          <w:color w:val="1F497D" w:themeColor="text2"/>
          <w:sz w:val="28"/>
          <w:szCs w:val="28"/>
        </w:rPr>
        <w:t>Concept Overview for the Tulare Basin Watershed Connections Workgroup</w:t>
      </w:r>
    </w:p>
    <w:p>
      <w:pPr>
        <w:pStyle w:val="Heading3"/>
        <w:numPr>
          <w:ilvl w:val="0"/>
          <w:numId w:val="0"/>
        </w:numPr>
        <w:jc w:val="center"/>
        <w:rPr>
          <w:b/>
          <w:b/>
        </w:rPr>
      </w:pPr>
      <w:r>
        <w:rPr>
          <w:b/>
        </w:rPr>
        <w:t>January 2015</w:t>
      </w:r>
    </w:p>
    <w:p>
      <w:pPr>
        <w:pStyle w:val="Normal"/>
        <w:rPr/>
      </w:pPr>
      <w:r>
        <w:rPr/>
      </w:r>
    </w:p>
    <w:p>
      <w:pPr>
        <w:pStyle w:val="NoSpacing"/>
        <w:rPr>
          <w:rFonts w:cs="Calibri" w:cstheme="minorHAnsi"/>
          <w:b/>
          <w:b/>
          <w:u w:val="single"/>
        </w:rPr>
      </w:pPr>
      <w:r>
        <w:rPr>
          <w:rFonts w:cs="Calibri" w:cstheme="minorHAnsi"/>
          <w:b/>
          <w:u w:val="single"/>
        </w:rPr>
        <w:t>Kings River Watershed</w:t>
      </w:r>
    </w:p>
    <w:p>
      <w:pPr>
        <w:pStyle w:val="ListParagraph"/>
        <w:numPr>
          <w:ilvl w:val="0"/>
          <w:numId w:val="2"/>
        </w:numPr>
        <w:rPr>
          <w:rFonts w:cs="Calibri" w:cstheme="minorHAnsi"/>
        </w:rPr>
      </w:pPr>
      <w:r>
        <w:rPr>
          <w:rFonts w:cs="Calibri" w:cstheme="minorHAnsi"/>
        </w:rPr>
        <w:t>Watershed covers 1,850 sq miles</w:t>
      </w:r>
    </w:p>
    <w:p>
      <w:pPr>
        <w:pStyle w:val="ListParagraph"/>
        <w:numPr>
          <w:ilvl w:val="0"/>
          <w:numId w:val="2"/>
        </w:numPr>
        <w:rPr>
          <w:rFonts w:cs="Calibri" w:cstheme="minorHAnsi"/>
        </w:rPr>
      </w:pPr>
      <w:r>
        <w:rPr>
          <w:rFonts w:cs="Calibri" w:cstheme="minorHAnsi"/>
        </w:rPr>
        <w:t>Wild and Scenic section (65 mile stretch) of Kings River</w:t>
      </w:r>
    </w:p>
    <w:p>
      <w:pPr>
        <w:pStyle w:val="ListParagraph"/>
        <w:numPr>
          <w:ilvl w:val="0"/>
          <w:numId w:val="2"/>
        </w:numPr>
        <w:rPr>
          <w:rFonts w:cs="Calibri" w:cstheme="minorHAnsi"/>
        </w:rPr>
      </w:pPr>
      <w:r>
        <w:rPr>
          <w:rFonts w:cs="Calibri" w:cstheme="minorHAnsi"/>
        </w:rPr>
        <w:t>Mill Creek is an important tributary of the Kings River</w:t>
      </w:r>
    </w:p>
    <w:p>
      <w:pPr>
        <w:pStyle w:val="ListParagraph"/>
        <w:numPr>
          <w:ilvl w:val="0"/>
          <w:numId w:val="2"/>
        </w:numPr>
        <w:rPr>
          <w:rFonts w:cs="Calibri" w:cstheme="minorHAnsi"/>
        </w:rPr>
      </w:pPr>
      <w:r>
        <w:rPr>
          <w:rFonts w:cs="Calibri" w:cstheme="minorHAnsi"/>
        </w:rPr>
        <w:t>Water for municipal, agriculture, recreation, warm and cold water fisheries</w:t>
      </w:r>
    </w:p>
    <w:p>
      <w:pPr>
        <w:pStyle w:val="NoSpacing"/>
        <w:rPr>
          <w:b/>
          <w:b/>
          <w:u w:val="single"/>
        </w:rPr>
      </w:pPr>
      <w:r>
        <w:rPr>
          <w:b/>
          <w:u w:val="single"/>
        </w:rPr>
        <w:t>Managing Entities</w:t>
      </w:r>
    </w:p>
    <w:p>
      <w:pPr>
        <w:pStyle w:val="Normal"/>
        <w:rPr>
          <w:rFonts w:cs="Calibri" w:cstheme="minorHAnsi"/>
        </w:rPr>
      </w:pPr>
      <w:r>
        <w:rPr>
          <w:rFonts w:cs="Calibri" w:cstheme="minorHAnsi"/>
        </w:rPr>
        <w:t>Managing entities in the Kings River Watershed include the Army Corps of Engineers, Fresno Metropolitan Flood Control District, Sierra RCD, PG&amp;E, ditch companies, Friends of the Kings River, Kings River Conservation District, Kings River Conservancy, Kings River Water Association, Upper Kings Basin Water Forum (also called Kings Basin Water Authority), and the National Park Service.</w:t>
      </w:r>
    </w:p>
    <w:p>
      <w:pPr>
        <w:pStyle w:val="NoSpacing"/>
        <w:rPr>
          <w:b/>
          <w:b/>
          <w:u w:val="single"/>
        </w:rPr>
      </w:pPr>
      <w:r>
        <w:rPr>
          <w:b/>
          <w:u w:val="single"/>
        </w:rPr>
        <w:t>Watershed Stressors</w:t>
      </w:r>
    </w:p>
    <w:p>
      <w:pPr>
        <w:pStyle w:val="Normal"/>
        <w:rPr>
          <w:rFonts w:cs="Calibri" w:cstheme="minorHAnsi"/>
        </w:rPr>
      </w:pPr>
      <w:r>
        <w:rPr>
          <w:rFonts w:cs="Calibri" w:cstheme="minorHAnsi"/>
        </w:rPr>
        <w:t>There are several watershed issues including water quality degradation after fires, downstream flooding, wildlife connectivity, groundwater availability, quality and management, well yield, county zoning, land use and water quality, and invasive species.</w:t>
      </w:r>
    </w:p>
    <w:p>
      <w:pPr>
        <w:pStyle w:val="NoSpacing"/>
        <w:rPr>
          <w:b/>
          <w:b/>
          <w:u w:val="single"/>
        </w:rPr>
      </w:pPr>
      <w:r>
        <w:rPr>
          <w:b/>
          <w:u w:val="single"/>
        </w:rPr>
        <w:t>Goals</w:t>
      </w:r>
    </w:p>
    <w:p>
      <w:pPr>
        <w:pStyle w:val="ListParagraph"/>
        <w:numPr>
          <w:ilvl w:val="0"/>
          <w:numId w:val="3"/>
        </w:numPr>
        <w:spacing w:lineRule="auto" w:line="240" w:before="0" w:after="120"/>
        <w:contextualSpacing/>
        <w:rPr>
          <w:rFonts w:cs="Calibri" w:cstheme="minorHAnsi"/>
        </w:rPr>
      </w:pPr>
      <w:r>
        <w:rPr>
          <w:rFonts w:cs="Calibri" w:cstheme="minorHAnsi"/>
        </w:rPr>
        <w:t>Integrate multiple efforts and forge new collaborations to bring partnerships, resources and identify benefits;</w:t>
      </w:r>
    </w:p>
    <w:p>
      <w:pPr>
        <w:pStyle w:val="ListParagraph"/>
        <w:numPr>
          <w:ilvl w:val="0"/>
          <w:numId w:val="3"/>
        </w:numPr>
        <w:spacing w:lineRule="auto" w:line="240" w:before="0" w:after="120"/>
        <w:contextualSpacing/>
        <w:rPr>
          <w:rFonts w:cs="Calibri" w:cstheme="minorHAnsi"/>
        </w:rPr>
      </w:pPr>
      <w:r>
        <w:rPr>
          <w:rFonts w:cs="Calibri" w:cstheme="minorHAnsi"/>
        </w:rPr>
        <w:t>Improve water management in upper watersheds by implementing creative water management projects;</w:t>
      </w:r>
    </w:p>
    <w:p>
      <w:pPr>
        <w:pStyle w:val="ListParagraph"/>
        <w:numPr>
          <w:ilvl w:val="0"/>
          <w:numId w:val="3"/>
        </w:numPr>
        <w:spacing w:lineRule="auto" w:line="240" w:before="0" w:after="120"/>
        <w:contextualSpacing/>
        <w:rPr>
          <w:rFonts w:cs="Calibri" w:cstheme="minorHAnsi"/>
        </w:rPr>
      </w:pPr>
      <w:r>
        <w:rPr>
          <w:rFonts w:cs="Calibri" w:cstheme="minorHAnsi"/>
        </w:rPr>
        <w:t>Provide whole watershed benefits and increase collaboration resulting in in-stream flow, additional water supplies and improved water quality;</w:t>
      </w:r>
    </w:p>
    <w:p>
      <w:pPr>
        <w:pStyle w:val="ListParagraph"/>
        <w:numPr>
          <w:ilvl w:val="0"/>
          <w:numId w:val="3"/>
        </w:numPr>
        <w:spacing w:lineRule="auto" w:line="240" w:before="0" w:after="0"/>
        <w:contextualSpacing/>
        <w:rPr>
          <w:rFonts w:cs="Calibri" w:cstheme="minorHAnsi"/>
        </w:rPr>
      </w:pPr>
      <w:r>
        <w:rPr>
          <w:rFonts w:cs="Calibri" w:cstheme="minorHAnsi"/>
        </w:rPr>
        <w:t>Increase resources for watershed-scale resource management.</w:t>
      </w:r>
    </w:p>
    <w:p>
      <w:pPr>
        <w:pStyle w:val="ListParagraph"/>
        <w:ind w:left="0" w:hanging="0"/>
        <w:rPr>
          <w:rFonts w:cs="Calibri" w:cstheme="minorHAnsi"/>
        </w:rPr>
      </w:pPr>
      <w:r>
        <w:rPr>
          <w:rFonts w:cs="Calibri" w:cstheme="minorHAnsi"/>
        </w:rPr>
      </w:r>
    </w:p>
    <w:p>
      <w:pPr>
        <w:pStyle w:val="ListParagraph"/>
        <w:ind w:left="0" w:hanging="0"/>
        <w:rPr>
          <w:rFonts w:ascii="Cambria" w:hAnsi="Cambria" w:asciiTheme="majorHAnsi" w:hAnsiTheme="majorHAnsi"/>
          <w:b/>
          <w:b/>
          <w:u w:val="single"/>
        </w:rPr>
      </w:pPr>
      <w:r>
        <w:rPr>
          <w:rFonts w:ascii="Cambria" w:hAnsi="Cambria" w:asciiTheme="majorHAnsi" w:hAnsiTheme="majorHAnsi"/>
          <w:b/>
          <w:u w:val="single"/>
        </w:rPr>
        <w:t>Key Components of a Watershed-Scale Restoration Program</w:t>
      </w:r>
    </w:p>
    <w:p>
      <w:pPr>
        <w:pStyle w:val="ListParagraph"/>
        <w:numPr>
          <w:ilvl w:val="0"/>
          <w:numId w:val="4"/>
        </w:numPr>
        <w:rPr>
          <w:rFonts w:ascii="Cambria" w:hAnsi="Cambria" w:asciiTheme="majorHAnsi" w:hAnsiTheme="majorHAnsi"/>
        </w:rPr>
      </w:pPr>
      <w:r>
        <w:rPr>
          <w:rFonts w:ascii="Cambria" w:hAnsi="Cambria" w:asciiTheme="majorHAnsi" w:hAnsiTheme="majorHAnsi"/>
        </w:rPr>
        <w:t>Multi-stakeholder planning and prioritization (e.g. Upper Kings IRWMP and Southern Sierra IRWMP)</w:t>
      </w:r>
    </w:p>
    <w:p>
      <w:pPr>
        <w:pStyle w:val="ListParagraph"/>
        <w:numPr>
          <w:ilvl w:val="0"/>
          <w:numId w:val="4"/>
        </w:numPr>
        <w:rPr>
          <w:rFonts w:ascii="Cambria" w:hAnsi="Cambria" w:asciiTheme="majorHAnsi" w:hAnsiTheme="majorHAnsi"/>
        </w:rPr>
      </w:pPr>
      <w:r>
        <w:rPr>
          <w:rFonts w:ascii="Cambria" w:hAnsi="Cambria" w:asciiTheme="majorHAnsi" w:hAnsiTheme="majorHAnsi"/>
        </w:rPr>
        <w:t xml:space="preserve">Planning </w:t>
      </w:r>
    </w:p>
    <w:p>
      <w:pPr>
        <w:pStyle w:val="ListParagraph"/>
        <w:numPr>
          <w:ilvl w:val="1"/>
          <w:numId w:val="4"/>
        </w:numPr>
        <w:rPr>
          <w:rFonts w:ascii="Cambria" w:hAnsi="Cambria" w:asciiTheme="majorHAnsi" w:hAnsiTheme="majorHAnsi"/>
        </w:rPr>
      </w:pPr>
      <w:r>
        <w:rPr>
          <w:rFonts w:ascii="Cambria" w:hAnsi="Cambria" w:asciiTheme="majorHAnsi" w:hAnsiTheme="majorHAnsi"/>
        </w:rPr>
        <w:t>Watershed assessment and watershed management plan for Southern Sierra (using SS IRWMP as guiding planning document)</w:t>
      </w:r>
    </w:p>
    <w:p>
      <w:pPr>
        <w:pStyle w:val="ListParagraph"/>
        <w:numPr>
          <w:ilvl w:val="1"/>
          <w:numId w:val="4"/>
        </w:numPr>
        <w:rPr>
          <w:rFonts w:ascii="Cambria" w:hAnsi="Cambria" w:asciiTheme="majorHAnsi" w:hAnsiTheme="majorHAnsi"/>
        </w:rPr>
      </w:pPr>
      <w:r>
        <w:rPr>
          <w:rFonts w:ascii="Cambria" w:hAnsi="Cambria" w:asciiTheme="majorHAnsi" w:hAnsiTheme="majorHAnsi"/>
        </w:rPr>
        <w:t>Non-profit or agency grantees with significant interest, track record and capacity</w:t>
      </w:r>
    </w:p>
    <w:p>
      <w:pPr>
        <w:pStyle w:val="ListParagraph"/>
        <w:numPr>
          <w:ilvl w:val="1"/>
          <w:numId w:val="4"/>
        </w:numPr>
        <w:spacing w:lineRule="auto" w:line="240" w:before="0" w:after="0"/>
        <w:contextualSpacing/>
        <w:rPr>
          <w:rFonts w:ascii="Cambria" w:hAnsi="Cambria" w:asciiTheme="majorHAnsi" w:hAnsiTheme="majorHAnsi"/>
        </w:rPr>
      </w:pPr>
      <w:r>
        <w:rPr>
          <w:rFonts w:ascii="Cambria" w:hAnsi="Cambria" w:asciiTheme="majorHAnsi" w:hAnsiTheme="majorHAnsi"/>
        </w:rPr>
        <w:t>EQA and NEPA studies, permitting and processes;</w:t>
      </w:r>
    </w:p>
    <w:p>
      <w:pPr>
        <w:pStyle w:val="ListParagraph"/>
        <w:numPr>
          <w:ilvl w:val="1"/>
          <w:numId w:val="4"/>
        </w:numPr>
        <w:spacing w:lineRule="auto" w:line="240" w:before="0" w:after="0"/>
        <w:contextualSpacing/>
        <w:rPr>
          <w:rFonts w:ascii="Cambria" w:hAnsi="Cambria" w:asciiTheme="majorHAnsi" w:hAnsiTheme="majorHAnsi"/>
        </w:rPr>
      </w:pPr>
      <w:r>
        <w:rPr>
          <w:rFonts w:ascii="Cambria" w:hAnsi="Cambria" w:asciiTheme="majorHAnsi" w:hAnsiTheme="majorHAnsi"/>
        </w:rPr>
        <w:t>Specific project designs and impact analyses;</w:t>
      </w:r>
    </w:p>
    <w:p>
      <w:pPr>
        <w:pStyle w:val="ListParagraph"/>
        <w:numPr>
          <w:ilvl w:val="1"/>
          <w:numId w:val="4"/>
        </w:numPr>
        <w:spacing w:lineRule="auto" w:line="240" w:before="0" w:after="0"/>
        <w:contextualSpacing/>
        <w:rPr>
          <w:rFonts w:ascii="Cambria" w:hAnsi="Cambria" w:asciiTheme="majorHAnsi" w:hAnsiTheme="majorHAnsi"/>
        </w:rPr>
      </w:pPr>
      <w:r>
        <w:rPr>
          <w:rFonts w:ascii="Cambria" w:hAnsi="Cambria" w:asciiTheme="majorHAnsi" w:hAnsiTheme="majorHAnsi"/>
        </w:rPr>
        <w:t>Discussions and negotiations with water right holders, constituents, public, partners, collaborators, etc. to form and integrate projects;</w:t>
      </w:r>
    </w:p>
    <w:p>
      <w:pPr>
        <w:pStyle w:val="ListParagraph"/>
        <w:numPr>
          <w:ilvl w:val="1"/>
          <w:numId w:val="4"/>
        </w:numPr>
        <w:spacing w:lineRule="auto" w:line="240" w:before="0" w:after="240"/>
        <w:contextualSpacing/>
        <w:rPr>
          <w:rFonts w:ascii="Cambria" w:hAnsi="Cambria" w:asciiTheme="majorHAnsi" w:hAnsiTheme="majorHAnsi"/>
        </w:rPr>
      </w:pPr>
      <w:r>
        <w:rPr>
          <w:rFonts w:ascii="Cambria" w:hAnsi="Cambria" w:asciiTheme="majorHAnsi" w:hAnsiTheme="majorHAnsi"/>
        </w:rPr>
        <w:t>Monitoring – project and adaptive management;</w:t>
      </w:r>
    </w:p>
    <w:p>
      <w:pPr>
        <w:pStyle w:val="ListParagraph"/>
        <w:numPr>
          <w:ilvl w:val="1"/>
          <w:numId w:val="4"/>
        </w:numPr>
        <w:spacing w:lineRule="auto" w:line="240" w:before="0" w:after="240"/>
        <w:contextualSpacing/>
        <w:rPr>
          <w:rFonts w:ascii="Cambria" w:hAnsi="Cambria" w:asciiTheme="majorHAnsi" w:hAnsiTheme="majorHAnsi"/>
        </w:rPr>
      </w:pPr>
      <w:r>
        <w:rPr>
          <w:rFonts w:ascii="Cambria" w:hAnsi="Cambria" w:asciiTheme="majorHAnsi" w:hAnsiTheme="majorHAnsi"/>
        </w:rPr>
        <w:t>Funding for all of the above.</w:t>
      </w:r>
    </w:p>
    <w:p>
      <w:pPr>
        <w:pStyle w:val="Normal"/>
        <w:rPr>
          <w:rFonts w:ascii="Cambria" w:hAnsi="Cambria" w:asciiTheme="majorHAnsi" w:hAnsiTheme="majorHAnsi"/>
        </w:rPr>
      </w:pPr>
      <w:r>
        <w:rPr>
          <w:rFonts w:asciiTheme="majorHAnsi" w:hAnsiTheme="majorHAnsi" w:ascii="Cambria" w:hAnsi="Cambria"/>
        </w:rPr>
      </w:r>
    </w:p>
    <w:p>
      <w:pPr>
        <w:pStyle w:val="ListParagraph"/>
        <w:numPr>
          <w:ilvl w:val="0"/>
          <w:numId w:val="4"/>
        </w:numPr>
        <w:rPr>
          <w:rFonts w:ascii="Cambria" w:hAnsi="Cambria" w:asciiTheme="majorHAnsi" w:hAnsiTheme="majorHAnsi"/>
        </w:rPr>
      </w:pPr>
      <w:r>
        <w:rPr>
          <w:rFonts w:ascii="Cambria" w:hAnsi="Cambria" w:asciiTheme="majorHAnsi" w:hAnsiTheme="majorHAnsi"/>
        </w:rPr>
        <w:t>Implementation</w:t>
      </w:r>
    </w:p>
    <w:p>
      <w:pPr>
        <w:pStyle w:val="ListParagraph"/>
        <w:numPr>
          <w:ilvl w:val="1"/>
          <w:numId w:val="4"/>
        </w:numPr>
        <w:spacing w:lineRule="auto" w:line="240" w:before="0" w:after="0"/>
        <w:contextualSpacing/>
        <w:rPr>
          <w:rFonts w:ascii="Cambria" w:hAnsi="Cambria" w:asciiTheme="majorHAnsi" w:hAnsiTheme="majorHAnsi"/>
        </w:rPr>
      </w:pPr>
      <w:r>
        <w:rPr>
          <w:rFonts w:ascii="Cambria" w:hAnsi="Cambria" w:asciiTheme="majorHAnsi" w:hAnsiTheme="majorHAnsi"/>
        </w:rPr>
        <w:t>Non-profit or agency grantees with significant interest, track record and capacity;</w:t>
      </w:r>
    </w:p>
    <w:p>
      <w:pPr>
        <w:pStyle w:val="ListParagraph"/>
        <w:numPr>
          <w:ilvl w:val="1"/>
          <w:numId w:val="4"/>
        </w:numPr>
        <w:spacing w:lineRule="auto" w:line="240" w:before="0" w:after="0"/>
        <w:contextualSpacing/>
        <w:rPr>
          <w:rFonts w:ascii="Cambria" w:hAnsi="Cambria" w:asciiTheme="majorHAnsi" w:hAnsiTheme="majorHAnsi"/>
        </w:rPr>
      </w:pPr>
      <w:r>
        <w:rPr>
          <w:rFonts w:ascii="Cambria" w:hAnsi="Cambria" w:asciiTheme="majorHAnsi" w:hAnsiTheme="majorHAnsi"/>
        </w:rPr>
        <w:t>Effective, experienced project managers and staff;</w:t>
      </w:r>
    </w:p>
    <w:p>
      <w:pPr>
        <w:pStyle w:val="ListParagraph"/>
        <w:numPr>
          <w:ilvl w:val="1"/>
          <w:numId w:val="4"/>
        </w:numPr>
        <w:spacing w:lineRule="auto" w:line="240" w:before="0" w:after="0"/>
        <w:contextualSpacing/>
        <w:rPr>
          <w:rFonts w:ascii="Cambria" w:hAnsi="Cambria" w:asciiTheme="majorHAnsi" w:hAnsiTheme="majorHAnsi"/>
        </w:rPr>
      </w:pPr>
      <w:r>
        <w:rPr>
          <w:rFonts w:ascii="Cambria" w:hAnsi="Cambria" w:asciiTheme="majorHAnsi" w:hAnsiTheme="majorHAnsi"/>
        </w:rPr>
        <w:t>Implementation funding;</w:t>
      </w:r>
    </w:p>
    <w:p>
      <w:pPr>
        <w:pStyle w:val="ListParagraph"/>
        <w:numPr>
          <w:ilvl w:val="1"/>
          <w:numId w:val="4"/>
        </w:numPr>
        <w:spacing w:lineRule="auto" w:line="240" w:before="0" w:after="0"/>
        <w:contextualSpacing/>
        <w:rPr>
          <w:rFonts w:ascii="Cambria" w:hAnsi="Cambria" w:asciiTheme="majorHAnsi" w:hAnsiTheme="majorHAnsi"/>
        </w:rPr>
      </w:pPr>
      <w:r>
        <w:rPr>
          <w:rFonts w:ascii="Cambria" w:hAnsi="Cambria" w:asciiTheme="majorHAnsi" w:hAnsiTheme="majorHAnsi"/>
        </w:rPr>
        <w:t>Funding for monitoring;</w:t>
      </w:r>
    </w:p>
    <w:p>
      <w:pPr>
        <w:pStyle w:val="ListParagraph"/>
        <w:numPr>
          <w:ilvl w:val="1"/>
          <w:numId w:val="4"/>
        </w:numPr>
        <w:spacing w:lineRule="auto" w:line="240" w:before="0" w:after="0"/>
        <w:contextualSpacing/>
        <w:rPr>
          <w:rFonts w:ascii="Cambria" w:hAnsi="Cambria" w:asciiTheme="majorHAnsi" w:hAnsiTheme="majorHAnsi"/>
        </w:rPr>
      </w:pPr>
      <w:r>
        <w:rPr>
          <w:rFonts w:ascii="Cambria" w:hAnsi="Cambria" w:asciiTheme="majorHAnsi" w:hAnsiTheme="majorHAnsi"/>
        </w:rPr>
        <w:t>Construction, design and long-term maintenance funding.</w:t>
      </w:r>
    </w:p>
    <w:p>
      <w:pPr>
        <w:pStyle w:val="ListParagraph"/>
        <w:ind w:left="1440" w:hanging="0"/>
        <w:rPr>
          <w:rFonts w:ascii="Cambria" w:hAnsi="Cambria" w:asciiTheme="majorHAnsi" w:hAnsiTheme="majorHAnsi"/>
        </w:rPr>
      </w:pPr>
      <w:r>
        <w:rPr>
          <w:rFonts w:asciiTheme="majorHAnsi" w:hAnsiTheme="majorHAnsi" w:ascii="Cambria" w:hAnsi="Cambria"/>
        </w:rPr>
      </w:r>
    </w:p>
    <w:p>
      <w:pPr>
        <w:pStyle w:val="NoSpacing"/>
        <w:rPr>
          <w:b/>
          <w:b/>
          <w:u w:val="single"/>
        </w:rPr>
      </w:pPr>
      <w:r>
        <w:rPr>
          <w:b/>
          <w:u w:val="single"/>
        </w:rPr>
        <w:t>Existing Efforts Currently Underway</w:t>
      </w:r>
    </w:p>
    <w:p>
      <w:pPr>
        <w:pStyle w:val="NoSpacing"/>
        <w:numPr>
          <w:ilvl w:val="0"/>
          <w:numId w:val="5"/>
        </w:numPr>
        <w:rPr/>
      </w:pPr>
      <w:r>
        <w:rPr/>
        <w:t>Southern Sierra Regional Water Management Group Kings River Watershed Action Plan</w:t>
      </w:r>
    </w:p>
    <w:p>
      <w:pPr>
        <w:pStyle w:val="NoSpacing"/>
        <w:numPr>
          <w:ilvl w:val="0"/>
          <w:numId w:val="5"/>
        </w:numPr>
        <w:rPr/>
      </w:pPr>
      <w:r>
        <w:rPr/>
        <w:t>Kings River IRWMP Implementation</w:t>
      </w:r>
    </w:p>
    <w:p>
      <w:pPr>
        <w:pStyle w:val="NoSpacing"/>
        <w:numPr>
          <w:ilvl w:val="0"/>
          <w:numId w:val="5"/>
        </w:numPr>
        <w:rPr/>
      </w:pPr>
      <w:r>
        <w:rPr/>
        <w:t>Kings River Experimental Watershed Research</w:t>
      </w:r>
    </w:p>
    <w:p>
      <w:pPr>
        <w:pStyle w:val="NoSpacing"/>
        <w:numPr>
          <w:ilvl w:val="0"/>
          <w:numId w:val="5"/>
        </w:numPr>
        <w:rPr/>
      </w:pPr>
      <w:r>
        <w:rPr/>
        <w:t>UC Merced Watershed-level Hydrological Research</w:t>
      </w:r>
    </w:p>
    <w:p>
      <w:pPr>
        <w:pStyle w:val="NoSpacing"/>
        <w:numPr>
          <w:ilvl w:val="0"/>
          <w:numId w:val="5"/>
        </w:numPr>
        <w:rPr/>
      </w:pPr>
      <w:r>
        <w:rPr/>
        <w:t>Dinkey Collaborative</w:t>
      </w:r>
    </w:p>
    <w:p>
      <w:pPr>
        <w:pStyle w:val="NoSpacing"/>
        <w:numPr>
          <w:ilvl w:val="0"/>
          <w:numId w:val="5"/>
        </w:numPr>
        <w:rPr/>
      </w:pPr>
      <w:r>
        <w:rPr/>
        <w:t>Rough Fire Water Quality Monitoring</w:t>
      </w:r>
    </w:p>
    <w:p>
      <w:pPr>
        <w:pStyle w:val="NoSpacing"/>
        <w:numPr>
          <w:ilvl w:val="0"/>
          <w:numId w:val="5"/>
        </w:numPr>
        <w:rPr/>
      </w:pPr>
      <w:r>
        <w:rPr/>
        <w:t>Mill Flat Creek Riparian Restoration and Road Decommissioning Project</w:t>
      </w:r>
    </w:p>
    <w:p>
      <w:pPr>
        <w:pStyle w:val="NoSpacing"/>
        <w:numPr>
          <w:ilvl w:val="0"/>
          <w:numId w:val="5"/>
        </w:numPr>
        <w:rPr/>
      </w:pPr>
      <w:r>
        <mc:AlternateContent>
          <mc:Choice Requires="wps">
            <w:drawing>
              <wp:anchor behindDoc="0" distT="0" distB="0" distL="114300" distR="114300" simplePos="0" locked="0" layoutInCell="1" allowOverlap="1" relativeHeight="2" wp14:anchorId="56851214">
                <wp:simplePos x="0" y="0"/>
                <wp:positionH relativeFrom="margin">
                  <wp:posOffset>650875</wp:posOffset>
                </wp:positionH>
                <wp:positionV relativeFrom="paragraph">
                  <wp:posOffset>38735</wp:posOffset>
                </wp:positionV>
                <wp:extent cx="4428490" cy="6032500"/>
                <wp:effectExtent l="0" t="1905" r="8890" b="8890"/>
                <wp:wrapTopAndBottom/>
                <wp:docPr id="1" name="Picture 13" descr="kings_watershed_8x11.jpg"/>
                <a:graphic xmlns:a="http://schemas.openxmlformats.org/drawingml/2006/main">
                  <a:graphicData uri="http://schemas.openxmlformats.org/drawingml/2006/picture">
                    <pic:pic xmlns:pic="http://schemas.openxmlformats.org/drawingml/2006/picture">
                      <pic:nvPicPr>
                        <pic:cNvPr id="0" name="Picture 13" descr="kings_watershed_8x11.jpg"/>
                        <pic:cNvPicPr/>
                      </pic:nvPicPr>
                      <pic:blipFill>
                        <a:blip r:embed="rId2"/>
                        <a:srcRect l="7691" t="5419" r="9275" b="6666"/>
                        <a:stretch/>
                      </pic:blipFill>
                      <pic:spPr>
                        <a:xfrm rot="5400000">
                          <a:off x="0" y="0"/>
                          <a:ext cx="4428000" cy="6031800"/>
                        </a:xfrm>
                        <a:prstGeom prst="rect">
                          <a:avLst/>
                        </a:prstGeom>
                        <a:ln w="9360">
                          <a:noFill/>
                        </a:ln>
                      </pic:spPr>
                    </pic:pic>
                  </a:graphicData>
                </a:graphic>
              </wp:anchor>
            </w:drawing>
          </mc:Choice>
          <mc:Fallback>
            <w:pict>
              <v:rect id="shape_0" ID="Picture 13" stroked="f" style="position:absolute;margin-left:51.25pt;margin-top:3.1pt;width:348.6pt;height:474.9pt;rotation:90;mso-position-horizontal-relative:margin" wp14:anchorId="56851214">
                <v:imagedata r:id="rId2" o:detectmouseclick="t"/>
                <w10:wrap type="none"/>
                <v:stroke color="#3465a4" weight="9360" joinstyle="miter" endcap="flat"/>
              </v:rect>
            </w:pict>
          </mc:Fallback>
        </mc:AlternateContent>
      </w:r>
      <w:r>
        <w:rPr/>
        <w:t>Sierra and Sequoia National Forest Management Plans</w:t>
      </w:r>
    </w:p>
    <w:p>
      <w:pPr>
        <w:pStyle w:val="Normal"/>
        <w:rPr/>
      </w:pPr>
      <w:bookmarkStart w:id="0" w:name="_GoBack"/>
      <w:bookmarkStart w:id="1" w:name="_GoBack"/>
      <w:bookmarkEnd w:id="1"/>
      <w:r>
        <w:rPr/>
      </w:r>
    </w:p>
    <w:p>
      <w:pPr>
        <w:pStyle w:val="Normal"/>
        <w:rPr/>
      </w:pPr>
      <w:r>
        <w:rPr>
          <w:b/>
        </w:rPr>
        <w:t xml:space="preserve">For more information contact: Bobby Kamansky </w:t>
      </w:r>
      <w:hyperlink r:id="rId3">
        <w:r>
          <w:rPr>
            <w:rStyle w:val="InternetLink"/>
            <w:b/>
          </w:rPr>
          <w:t>southernsierrairwmp@gmail.com</w:t>
        </w:r>
      </w:hyperlink>
    </w:p>
    <w:sectPr>
      <w:footerReference w:type="default" r:id="rId4"/>
      <w:type w:val="nextPage"/>
      <w:pgSz w:w="12240" w:h="15840"/>
      <w:pgMar w:left="1440" w:right="1440" w:header="0" w:top="1350" w:footer="720" w:bottom="13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6January2016</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Chapter %1 -"/>
      <w:lvlJc w:val="left"/>
      <w:pPr>
        <w:ind w:left="882" w:hanging="432"/>
      </w:pPr>
      <w:rPr>
        <w:rFonts w:cs="Arial"/>
        <w:color w:val="365F91"/>
      </w:rPr>
    </w:lvl>
    <w:lvl w:ilvl="1">
      <w:start w:val="1"/>
      <w:numFmt w:val="decimal"/>
      <w:suff w:val="space"/>
      <w:lvlText w:val="%1.%2 -"/>
      <w:lvlJc w:val="left"/>
      <w:pPr>
        <w:ind w:left="360" w:hanging="360"/>
      </w:pPr>
      <w:rPr>
        <w:sz w:val="32"/>
        <w:i w:val="false"/>
        <w:szCs w:val="32"/>
        <w:rFonts w:cs="Arial"/>
        <w:color w:val="365F91"/>
      </w:rPr>
    </w:lvl>
    <w:lvl w:ilvl="2">
      <w:start w:val="1"/>
      <w:numFmt w:val="decimal"/>
      <w:lvlText w:val="%1.%2.%3"/>
      <w:lvlJc w:val="left"/>
      <w:pPr>
        <w:ind w:left="720" w:hanging="720"/>
      </w:pPr>
      <w:rPr>
        <w:sz w:val="26"/>
        <w:b/>
        <w:szCs w:val="26"/>
        <w:rFonts w:cs="Arial"/>
        <w:color w:val="365F91"/>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af7f15"/>
    <w:pPr>
      <w:keepNext/>
      <w:numPr>
        <w:ilvl w:val="0"/>
        <w:numId w:val="1"/>
      </w:numPr>
      <w:spacing w:lineRule="auto" w:line="240" w:before="240" w:after="60"/>
      <w:jc w:val="center"/>
      <w:outlineLvl w:val="0"/>
      <w:outlineLvl w:val="0"/>
    </w:pPr>
    <w:rPr>
      <w:rFonts w:ascii="Arial" w:hAnsi="Arial" w:eastAsia="Times New Roman" w:cs="Arial"/>
      <w:b/>
      <w:bCs/>
      <w:smallCaps/>
      <w:color w:val="365F91"/>
      <w:sz w:val="40"/>
      <w:szCs w:val="32"/>
    </w:rPr>
  </w:style>
  <w:style w:type="paragraph" w:styleId="Heading2">
    <w:name w:val="Heading 2"/>
    <w:basedOn w:val="Normal"/>
    <w:next w:val="Normal"/>
    <w:link w:val="Heading2Char"/>
    <w:uiPriority w:val="9"/>
    <w:unhideWhenUsed/>
    <w:qFormat/>
    <w:rsid w:val="00af7f15"/>
    <w:pPr>
      <w:keepNext/>
      <w:keepLines/>
      <w:numPr>
        <w:ilvl w:val="1"/>
        <w:numId w:val="1"/>
      </w:numPr>
      <w:spacing w:lineRule="auto" w:line="240" w:before="240" w:after="240"/>
      <w:outlineLvl w:val="1"/>
      <w:outlineLvl w:val="1"/>
    </w:pPr>
    <w:rPr>
      <w:rFonts w:ascii="Arial" w:hAnsi="Arial" w:eastAsia="Times New Roman" w:cs="Arial"/>
      <w:b/>
      <w:bCs/>
      <w:color w:val="365F91"/>
      <w:sz w:val="32"/>
      <w:szCs w:val="36"/>
    </w:rPr>
  </w:style>
  <w:style w:type="paragraph" w:styleId="Heading3">
    <w:name w:val="Heading 3"/>
    <w:basedOn w:val="Normal"/>
    <w:next w:val="Normal"/>
    <w:link w:val="Heading3Char"/>
    <w:unhideWhenUsed/>
    <w:qFormat/>
    <w:rsid w:val="00af7f15"/>
    <w:pPr>
      <w:keepNext/>
      <w:numPr>
        <w:ilvl w:val="2"/>
        <w:numId w:val="1"/>
      </w:numPr>
      <w:spacing w:lineRule="auto" w:line="240" w:before="240" w:after="60"/>
      <w:jc w:val="both"/>
      <w:outlineLvl w:val="2"/>
      <w:outlineLvl w:val="2"/>
    </w:pPr>
    <w:rPr>
      <w:rFonts w:ascii="Arial" w:hAnsi="Arial" w:eastAsia="Times New Roman" w:cs="Arial"/>
      <w:bCs/>
      <w:color w:val="365F91"/>
      <w:sz w:val="26"/>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af7f15"/>
    <w:rPr>
      <w:rFonts w:ascii="Arial" w:hAnsi="Arial" w:eastAsia="Times New Roman" w:cs="Arial"/>
      <w:b/>
      <w:bCs/>
      <w:smallCaps/>
      <w:color w:val="365F91"/>
      <w:sz w:val="40"/>
      <w:szCs w:val="32"/>
    </w:rPr>
  </w:style>
  <w:style w:type="character" w:styleId="Heading2Char" w:customStyle="1">
    <w:name w:val="Heading 2 Char"/>
    <w:basedOn w:val="DefaultParagraphFont"/>
    <w:link w:val="Heading2"/>
    <w:uiPriority w:val="9"/>
    <w:qFormat/>
    <w:rsid w:val="00af7f15"/>
    <w:rPr>
      <w:rFonts w:ascii="Arial" w:hAnsi="Arial" w:eastAsia="Times New Roman" w:cs="Arial"/>
      <w:b/>
      <w:bCs/>
      <w:color w:val="365F91"/>
      <w:sz w:val="32"/>
      <w:szCs w:val="36"/>
    </w:rPr>
  </w:style>
  <w:style w:type="character" w:styleId="Heading3Char" w:customStyle="1">
    <w:name w:val="Heading 3 Char"/>
    <w:basedOn w:val="DefaultParagraphFont"/>
    <w:link w:val="Heading3"/>
    <w:qFormat/>
    <w:rsid w:val="00af7f15"/>
    <w:rPr>
      <w:rFonts w:ascii="Arial" w:hAnsi="Arial" w:eastAsia="Times New Roman" w:cs="Arial"/>
      <w:bCs/>
      <w:color w:val="365F91"/>
      <w:sz w:val="26"/>
      <w:szCs w:val="24"/>
    </w:rPr>
  </w:style>
  <w:style w:type="character" w:styleId="HeaderChar" w:customStyle="1">
    <w:name w:val="Header Char"/>
    <w:basedOn w:val="DefaultParagraphFont"/>
    <w:link w:val="Header"/>
    <w:uiPriority w:val="99"/>
    <w:qFormat/>
    <w:rsid w:val="002d45fc"/>
    <w:rPr/>
  </w:style>
  <w:style w:type="character" w:styleId="FooterChar" w:customStyle="1">
    <w:name w:val="Footer Char"/>
    <w:basedOn w:val="DefaultParagraphFont"/>
    <w:link w:val="Footer"/>
    <w:uiPriority w:val="99"/>
    <w:qFormat/>
    <w:rsid w:val="002d45fc"/>
    <w:rPr/>
  </w:style>
  <w:style w:type="character" w:styleId="InternetLink">
    <w:name w:val="Internet Link"/>
    <w:basedOn w:val="DefaultParagraphFont"/>
    <w:uiPriority w:val="99"/>
    <w:unhideWhenUsed/>
    <w:rsid w:val="002d45fc"/>
    <w:rPr>
      <w:color w:val="0000FF" w:themeColor="hyperlink"/>
      <w:u w:val="single"/>
    </w:rPr>
  </w:style>
  <w:style w:type="character" w:styleId="ListLabel1">
    <w:name w:val="ListLabel 1"/>
    <w:qFormat/>
    <w:rPr>
      <w:rFonts w:cs="Arial"/>
      <w:color w:val="365F91"/>
    </w:rPr>
  </w:style>
  <w:style w:type="character" w:styleId="ListLabel2">
    <w:name w:val="ListLabel 2"/>
    <w:qFormat/>
    <w:rPr>
      <w:rFonts w:cs="Arial"/>
      <w:i w:val="false"/>
      <w:color w:val="365F91"/>
      <w:sz w:val="32"/>
      <w:szCs w:val="32"/>
    </w:rPr>
  </w:style>
  <w:style w:type="character" w:styleId="ListLabel3">
    <w:name w:val="ListLabel 3"/>
    <w:qFormat/>
    <w:rPr>
      <w:rFonts w:cs="Arial"/>
      <w:b/>
      <w:color w:val="365F91"/>
      <w:sz w:val="26"/>
      <w:szCs w:val="26"/>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f7f15"/>
    <w:pPr>
      <w:spacing w:before="0" w:after="200"/>
      <w:ind w:left="720" w:hanging="0"/>
      <w:contextualSpacing/>
    </w:pPr>
    <w:rPr/>
  </w:style>
  <w:style w:type="paragraph" w:styleId="NoSpacing">
    <w:name w:val="No Spacing"/>
    <w:uiPriority w:val="1"/>
    <w:qFormat/>
    <w:rsid w:val="00af7f1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er">
    <w:name w:val="Header"/>
    <w:basedOn w:val="Normal"/>
    <w:link w:val="HeaderChar"/>
    <w:uiPriority w:val="99"/>
    <w:unhideWhenUsed/>
    <w:rsid w:val="002d45fc"/>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d45fc"/>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outhernsierrairwmp@gmail.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LibreOffice/5.0.3.2$Windows_X86_64 LibreOffice_project/e5f16313668ac592c1bfb310f4390624e3dbfb75</Application>
  <Paragraphs>5</Paragraphs>
  <Company>CA 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2016-01-06T17:37:00Z</dcterms:created>
  <dc:creator>mselmon</dc:creator>
  <dc:language>en-US</dc:language>
  <cp:lastModifiedBy>mselmon</cp:lastModifiedBy>
  <dcterms:modified xsi:type="dcterms:W3CDTF">2016-01-06T18:00:00Z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 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