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 xml:space="preserve">Tulare Basin Watershed Connections Workgroup </w:t>
      </w:r>
    </w:p>
    <w:p>
      <w:pPr>
        <w:pStyle w:val="NoSpacing"/>
        <w:jc w:val="center"/>
        <w:rPr>
          <w:b/>
          <w:b/>
          <w:sz w:val="28"/>
          <w:szCs w:val="28"/>
        </w:rPr>
      </w:pPr>
      <w:r>
        <w:rPr>
          <w:b/>
          <w:sz w:val="28"/>
          <w:szCs w:val="28"/>
        </w:rPr>
        <w:t>Agenda</w:t>
      </w:r>
    </w:p>
    <w:p>
      <w:pPr>
        <w:pStyle w:val="NoSpacing"/>
        <w:jc w:val="center"/>
        <w:rPr>
          <w:b/>
          <w:b/>
          <w:sz w:val="24"/>
          <w:szCs w:val="24"/>
        </w:rPr>
      </w:pPr>
      <w:r>
        <w:rPr>
          <w:b/>
          <w:sz w:val="24"/>
          <w:szCs w:val="24"/>
        </w:rPr>
        <w:t>January 6</w:t>
      </w:r>
      <w:r>
        <w:rPr>
          <w:b/>
          <w:sz w:val="24"/>
          <w:szCs w:val="24"/>
          <w:vertAlign w:val="superscript"/>
        </w:rPr>
        <w:t>th</w:t>
      </w:r>
      <w:r>
        <w:rPr>
          <w:b/>
          <w:sz w:val="24"/>
          <w:szCs w:val="24"/>
        </w:rPr>
        <w:t>, 2016</w:t>
      </w:r>
    </w:p>
    <w:p>
      <w:pPr>
        <w:pStyle w:val="Normal"/>
        <w:rPr>
          <w:sz w:val="24"/>
          <w:szCs w:val="24"/>
        </w:rPr>
      </w:pPr>
      <w:r>
        <w:rPr>
          <w:sz w:val="24"/>
          <w:szCs w:val="24"/>
        </w:rPr>
      </w:r>
    </w:p>
    <w:p>
      <w:pPr>
        <w:pStyle w:val="NoSpacing"/>
        <w:rPr>
          <w:sz w:val="24"/>
          <w:szCs w:val="24"/>
        </w:rPr>
      </w:pPr>
      <w:r>
        <w:rPr>
          <w:b/>
          <w:sz w:val="24"/>
          <w:szCs w:val="24"/>
        </w:rPr>
        <w:t>Location</w:t>
      </w:r>
      <w:r>
        <w:rPr>
          <w:sz w:val="24"/>
          <w:szCs w:val="24"/>
        </w:rPr>
        <w:t>: DWR South Central Region Office @ 3374 E. Shields Ave, Fresno</w:t>
      </w:r>
    </w:p>
    <w:p>
      <w:pPr>
        <w:pStyle w:val="NoSpacing"/>
        <w:rPr>
          <w:sz w:val="24"/>
          <w:szCs w:val="24"/>
        </w:rPr>
      </w:pPr>
      <w:r>
        <w:rPr>
          <w:b/>
          <w:sz w:val="24"/>
          <w:szCs w:val="24"/>
        </w:rPr>
        <w:t>Time:</w:t>
      </w:r>
      <w:r>
        <w:rPr>
          <w:sz w:val="24"/>
          <w:szCs w:val="24"/>
        </w:rPr>
        <w:t xml:space="preserve"> 1:00 – 4:00 </w:t>
      </w:r>
    </w:p>
    <w:p>
      <w:pPr>
        <w:pStyle w:val="NoSpacing"/>
        <w:rPr/>
      </w:pPr>
      <w:r>
        <w:rPr>
          <w:highlight w:val="yellow"/>
        </w:rPr>
        <w:t>Call-in Number: 1-877-985-3104; Participant code: 4792363</w:t>
      </w:r>
    </w:p>
    <w:p>
      <w:pPr>
        <w:pStyle w:val="Normal"/>
        <w:rPr/>
      </w:pPr>
      <w:hyperlink r:id="rId2">
        <w:r>
          <w:rPr>
            <w:rStyle w:val="InternetLink"/>
            <w:sz w:val="24"/>
            <w:szCs w:val="24"/>
          </w:rPr>
          <w:t>https://resources.webex.com/resources/j.php?MTID=mc8a0ae78c95edeb96cdc3e37ae6f81f9</w:t>
        </w:r>
      </w:hyperlink>
    </w:p>
    <w:p>
      <w:pPr>
        <w:pStyle w:val="Normal"/>
        <w:rPr>
          <w:b/>
          <w:b/>
          <w:sz w:val="24"/>
          <w:szCs w:val="24"/>
        </w:rPr>
      </w:pPr>
      <w:r>
        <w:rPr>
          <w:b/>
          <w:sz w:val="24"/>
          <w:szCs w:val="24"/>
        </w:rPr>
        <w:t>Meeting Agenda</w:t>
      </w:r>
    </w:p>
    <w:p>
      <w:pPr>
        <w:pStyle w:val="Normal"/>
        <w:rPr>
          <w:sz w:val="24"/>
          <w:szCs w:val="24"/>
        </w:rPr>
      </w:pPr>
      <w:r>
        <w:rPr>
          <w:sz w:val="24"/>
          <w:szCs w:val="24"/>
        </w:rPr>
        <w:t xml:space="preserve">1:00 - 1:10 </w:t>
        <w:tab/>
      </w:r>
      <w:r>
        <w:rPr>
          <w:b/>
          <w:sz w:val="24"/>
          <w:szCs w:val="24"/>
        </w:rPr>
        <w:t>Introductions and overview</w:t>
      </w:r>
      <w:r>
        <w:rPr>
          <w:sz w:val="24"/>
          <w:szCs w:val="24"/>
        </w:rPr>
        <w:t xml:space="preserve"> of agenda </w:t>
      </w:r>
    </w:p>
    <w:p>
      <w:pPr>
        <w:pStyle w:val="Normal"/>
        <w:ind w:left="1440" w:hanging="1440"/>
        <w:rPr>
          <w:sz w:val="24"/>
          <w:szCs w:val="24"/>
        </w:rPr>
      </w:pPr>
      <w:r>
        <w:rPr>
          <w:sz w:val="24"/>
          <w:szCs w:val="24"/>
        </w:rPr>
        <w:t>1:10 - 1:20</w:t>
        <w:tab/>
      </w:r>
      <w:r>
        <w:rPr>
          <w:b/>
          <w:sz w:val="24"/>
          <w:szCs w:val="24"/>
        </w:rPr>
        <w:t>Brief review of outcomes</w:t>
      </w:r>
      <w:r>
        <w:rPr>
          <w:sz w:val="24"/>
          <w:szCs w:val="24"/>
        </w:rPr>
        <w:t xml:space="preserve"> from last TB WCW meeting</w:t>
      </w:r>
    </w:p>
    <w:p>
      <w:pPr>
        <w:pStyle w:val="Normal"/>
        <w:ind w:left="1440" w:hanging="1440"/>
        <w:rPr>
          <w:sz w:val="24"/>
          <w:szCs w:val="24"/>
        </w:rPr>
      </w:pPr>
      <w:r>
        <w:rPr>
          <w:sz w:val="24"/>
          <w:szCs w:val="24"/>
        </w:rPr>
        <w:t xml:space="preserve">1:20 - 1:50 </w:t>
        <w:tab/>
      </w:r>
      <w:r>
        <w:rPr>
          <w:b/>
          <w:sz w:val="24"/>
          <w:szCs w:val="24"/>
        </w:rPr>
        <w:t xml:space="preserve">Sierra Nevada tree die-off; lessons learned and future challenges </w:t>
        <w:tab/>
        <w:tab/>
      </w:r>
      <w:r>
        <w:rPr>
          <w:sz w:val="24"/>
          <w:szCs w:val="24"/>
        </w:rPr>
        <w:t>(Roger Bales, UC Merced)</w:t>
      </w:r>
    </w:p>
    <w:p>
      <w:pPr>
        <w:pStyle w:val="NoSpacing"/>
        <w:ind w:left="1440" w:hanging="1440"/>
        <w:rPr>
          <w:sz w:val="24"/>
          <w:szCs w:val="24"/>
        </w:rPr>
      </w:pPr>
      <w:r>
        <w:rPr>
          <w:sz w:val="24"/>
          <w:szCs w:val="24"/>
        </w:rPr>
        <w:t>1:50 – 2:10</w:t>
        <w:tab/>
      </w:r>
      <w:r>
        <w:rPr>
          <w:b/>
          <w:sz w:val="24"/>
          <w:szCs w:val="24"/>
        </w:rPr>
        <w:t>Results from the TB WCW project survey</w:t>
      </w:r>
      <w:r>
        <w:rPr>
          <w:sz w:val="24"/>
          <w:szCs w:val="24"/>
        </w:rPr>
        <w:t xml:space="preserve"> (Michelle Selmon, DWR)</w:t>
      </w:r>
    </w:p>
    <w:p>
      <w:pPr>
        <w:pStyle w:val="NoSpacing"/>
        <w:ind w:left="1440" w:hanging="1440"/>
        <w:rPr>
          <w:sz w:val="24"/>
          <w:szCs w:val="24"/>
        </w:rPr>
      </w:pPr>
      <w:r>
        <w:rPr>
          <w:sz w:val="24"/>
          <w:szCs w:val="24"/>
        </w:rPr>
        <w:tab/>
        <w:t>Discussion about projects the group would like to pursue in 2016</w:t>
      </w:r>
    </w:p>
    <w:p>
      <w:pPr>
        <w:pStyle w:val="NoSpacing"/>
        <w:rPr>
          <w:sz w:val="24"/>
          <w:szCs w:val="24"/>
        </w:rPr>
      </w:pPr>
      <w:bookmarkStart w:id="0" w:name="_GoBack"/>
      <w:bookmarkStart w:id="1" w:name="_GoBack"/>
      <w:bookmarkEnd w:id="1"/>
      <w:r>
        <w:rPr>
          <w:sz w:val="24"/>
          <w:szCs w:val="24"/>
        </w:rPr>
      </w:r>
    </w:p>
    <w:p>
      <w:pPr>
        <w:pStyle w:val="NoSpacing"/>
        <w:ind w:left="1440" w:hanging="1440"/>
        <w:rPr>
          <w:sz w:val="24"/>
          <w:szCs w:val="24"/>
        </w:rPr>
      </w:pPr>
      <w:r>
        <w:rPr>
          <w:sz w:val="24"/>
          <w:szCs w:val="24"/>
        </w:rPr>
        <w:t>2:10 – 2:30</w:t>
        <w:tab/>
      </w:r>
      <w:r>
        <w:rPr>
          <w:b/>
          <w:sz w:val="24"/>
          <w:szCs w:val="24"/>
        </w:rPr>
        <w:t>Tulare Basin Wildlife Partners Conceptual Conservation Projects</w:t>
      </w:r>
      <w:r>
        <w:rPr>
          <w:sz w:val="24"/>
          <w:szCs w:val="24"/>
        </w:rPr>
        <w:t xml:space="preserve"> list </w:t>
        <w:tab/>
        <w:tab/>
        <w:t>(Rob Hansen, TBWP)</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2:30 – 2:45</w:t>
        <w:tab/>
        <w:t>Break</w:t>
      </w:r>
    </w:p>
    <w:p>
      <w:pPr>
        <w:pStyle w:val="NoSpacing"/>
        <w:ind w:left="1440" w:hanging="1440"/>
        <w:rPr>
          <w:sz w:val="24"/>
          <w:szCs w:val="24"/>
        </w:rPr>
      </w:pPr>
      <w:r>
        <w:rPr>
          <w:sz w:val="24"/>
          <w:szCs w:val="24"/>
        </w:rPr>
      </w:r>
    </w:p>
    <w:p>
      <w:pPr>
        <w:pStyle w:val="NoSpacing"/>
        <w:ind w:left="1440" w:hanging="1440"/>
        <w:rPr>
          <w:sz w:val="24"/>
          <w:szCs w:val="24"/>
        </w:rPr>
      </w:pPr>
      <w:r>
        <w:rPr>
          <w:sz w:val="24"/>
          <w:szCs w:val="24"/>
        </w:rPr>
        <w:t xml:space="preserve">2:45 – 3:10 </w:t>
        <w:tab/>
      </w:r>
      <w:r>
        <w:rPr>
          <w:b/>
          <w:sz w:val="24"/>
          <w:szCs w:val="24"/>
        </w:rPr>
        <w:t xml:space="preserve">Mill Flat Creek project </w:t>
      </w:r>
      <w:r>
        <w:rPr>
          <w:sz w:val="24"/>
          <w:szCs w:val="24"/>
        </w:rPr>
        <w:t>(Bobby Kamansky, Kamansky Ecological Consulting)</w:t>
      </w:r>
    </w:p>
    <w:p>
      <w:pPr>
        <w:pStyle w:val="NoSpacing"/>
        <w:rPr>
          <w:sz w:val="24"/>
          <w:szCs w:val="24"/>
        </w:rPr>
      </w:pPr>
      <w:r>
        <w:rPr>
          <w:sz w:val="24"/>
          <w:szCs w:val="24"/>
        </w:rPr>
      </w:r>
    </w:p>
    <w:p>
      <w:pPr>
        <w:pStyle w:val="NoSpacing"/>
        <w:rPr>
          <w:sz w:val="24"/>
          <w:szCs w:val="24"/>
        </w:rPr>
      </w:pPr>
      <w:r>
        <w:rPr>
          <w:sz w:val="24"/>
          <w:szCs w:val="24"/>
        </w:rPr>
        <w:t>3:10 – 3:35</w:t>
        <w:tab/>
      </w:r>
      <w:r>
        <w:rPr>
          <w:b/>
          <w:sz w:val="24"/>
          <w:szCs w:val="24"/>
        </w:rPr>
        <w:t xml:space="preserve">Subgroup and partner updates </w:t>
      </w:r>
    </w:p>
    <w:p>
      <w:pPr>
        <w:pStyle w:val="NoSpacing"/>
        <w:ind w:left="1440" w:hanging="1440"/>
        <w:rPr>
          <w:sz w:val="24"/>
          <w:szCs w:val="24"/>
        </w:rPr>
      </w:pPr>
      <w:r>
        <w:rPr>
          <w:sz w:val="24"/>
          <w:szCs w:val="24"/>
        </w:rPr>
      </w:r>
    </w:p>
    <w:p>
      <w:pPr>
        <w:pStyle w:val="NoSpacing"/>
        <w:ind w:left="1440" w:hanging="1440"/>
        <w:rPr>
          <w:b/>
          <w:b/>
          <w:sz w:val="24"/>
          <w:szCs w:val="24"/>
        </w:rPr>
      </w:pPr>
      <w:r>
        <w:rPr>
          <w:sz w:val="24"/>
          <w:szCs w:val="24"/>
        </w:rPr>
        <w:t>3:35 – 3:55</w:t>
        <w:tab/>
      </w:r>
      <w:r>
        <w:rPr>
          <w:b/>
          <w:sz w:val="24"/>
          <w:szCs w:val="24"/>
        </w:rPr>
        <w:t>Open discussion about 2016 priorities and expectations</w:t>
      </w:r>
    </w:p>
    <w:p>
      <w:pPr>
        <w:pStyle w:val="NoSpacing"/>
        <w:ind w:left="1440" w:hanging="1440"/>
        <w:rPr>
          <w:sz w:val="24"/>
          <w:szCs w:val="24"/>
        </w:rPr>
      </w:pPr>
      <w:r>
        <w:rPr>
          <w:sz w:val="24"/>
          <w:szCs w:val="24"/>
        </w:rPr>
      </w:r>
    </w:p>
    <w:p>
      <w:pPr>
        <w:pStyle w:val="NoSpacing"/>
        <w:rPr>
          <w:sz w:val="24"/>
          <w:szCs w:val="24"/>
        </w:rPr>
      </w:pPr>
      <w:r>
        <w:rPr>
          <w:sz w:val="24"/>
          <w:szCs w:val="24"/>
        </w:rPr>
        <w:t>3:55 – 4:00</w:t>
        <w:tab/>
      </w:r>
      <w:r>
        <w:rPr>
          <w:b/>
          <w:sz w:val="24"/>
          <w:szCs w:val="24"/>
        </w:rPr>
        <w:t>Wrap up/Next meeting</w:t>
      </w:r>
      <w:r>
        <w:rPr>
          <w:sz w:val="24"/>
          <w:szCs w:val="24"/>
        </w:rPr>
        <w:t xml:space="preserve"> – April 2016   </w:t>
        <w:tab/>
      </w:r>
    </w:p>
    <w:p>
      <w:pPr>
        <w:pStyle w:val="NoSpacing"/>
        <w:rPr>
          <w:sz w:val="24"/>
          <w:szCs w:val="24"/>
        </w:rPr>
      </w:pPr>
      <w:r>
        <w:rPr>
          <w:sz w:val="24"/>
          <w:szCs w:val="24"/>
        </w:rPr>
      </w:r>
    </w:p>
    <w:p>
      <w:pPr>
        <w:pStyle w:val="Normal"/>
        <w:jc w:val="center"/>
        <w:rPr/>
      </w:pPr>
      <w:r>
        <w:rPr/>
        <w:drawing>
          <wp:inline distT="19050" distB="18415" distL="19050" distR="19050">
            <wp:extent cx="3562350" cy="2343785"/>
            <wp:effectExtent l="0" t="0" r="0" b="0"/>
            <wp:docPr id="1" name="Picture 1" descr="Tulare Basin IRW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ulare Basin IRWM map"/>
                    <pic:cNvPicPr>
                      <a:picLocks noChangeAspect="1" noChangeArrowheads="1"/>
                    </pic:cNvPicPr>
                  </pic:nvPicPr>
                  <pic:blipFill>
                    <a:blip r:embed="rId3"/>
                    <a:stretch>
                      <a:fillRect/>
                    </a:stretch>
                  </pic:blipFill>
                  <pic:spPr bwMode="auto">
                    <a:xfrm>
                      <a:off x="0" y="0"/>
                      <a:ext cx="3562350" cy="2343785"/>
                    </a:xfrm>
                    <a:prstGeom prst="rect">
                      <a:avLst/>
                    </a:prstGeom>
                  </pic:spPr>
                </pic:pic>
              </a:graphicData>
            </a:graphic>
          </wp:inline>
        </w:drawing>
      </w:r>
    </w:p>
    <w:p>
      <w:pPr>
        <w:pStyle w:val="Normal"/>
        <w:jc w:val="center"/>
        <w:rPr>
          <w:b/>
          <w:b/>
          <w:sz w:val="24"/>
          <w:szCs w:val="24"/>
        </w:rPr>
      </w:pPr>
      <w:r>
        <w:rPr>
          <w:b/>
          <w:sz w:val="24"/>
          <w:szCs w:val="24"/>
        </w:rPr>
      </w:r>
    </w:p>
    <w:p>
      <w:pPr>
        <w:pStyle w:val="NoSpacing"/>
        <w:rPr>
          <w:b/>
          <w:b/>
          <w:sz w:val="36"/>
          <w:szCs w:val="36"/>
        </w:rPr>
      </w:pPr>
      <w:r>
        <w:rPr>
          <w:b/>
          <w:sz w:val="36"/>
          <w:szCs w:val="36"/>
        </w:rPr>
      </w:r>
    </w:p>
    <w:p>
      <w:pPr>
        <w:pStyle w:val="NoSpacing"/>
        <w:rPr>
          <w:b/>
          <w:b/>
          <w:sz w:val="36"/>
          <w:szCs w:val="36"/>
        </w:rPr>
      </w:pPr>
      <w:r>
        <w:rPr>
          <w:b/>
          <w:sz w:val="36"/>
          <w:szCs w:val="36"/>
        </w:rPr>
        <w:t xml:space="preserve">Tulare Basin Watershed Connections Workgroup </w:t>
      </w:r>
    </w:p>
    <w:p>
      <w:pPr>
        <w:pStyle w:val="NoSpacing"/>
        <w:rPr>
          <w:b/>
          <w:b/>
          <w:sz w:val="24"/>
          <w:szCs w:val="24"/>
        </w:rPr>
      </w:pPr>
      <w:r>
        <w:rPr>
          <w:b/>
          <w:sz w:val="24"/>
          <w:szCs w:val="24"/>
        </w:rPr>
      </w:r>
    </w:p>
    <w:p>
      <w:pPr>
        <w:pStyle w:val="NoSpacing"/>
        <w:rPr>
          <w:rFonts w:cs="Aharoni"/>
          <w:b/>
          <w:b/>
          <w:i/>
          <w:i/>
          <w:sz w:val="24"/>
          <w:szCs w:val="24"/>
        </w:rPr>
      </w:pPr>
      <w:r>
        <w:rPr>
          <w:b/>
          <w:color w:val="C00000"/>
          <w:sz w:val="24"/>
          <w:szCs w:val="24"/>
        </w:rPr>
        <w:t>Goal Statement:</w:t>
      </w:r>
      <w:r>
        <w:rPr>
          <w:b/>
          <w:sz w:val="24"/>
          <w:szCs w:val="24"/>
        </w:rPr>
        <w:t xml:space="preserve"> </w:t>
      </w:r>
      <w:r>
        <w:rPr>
          <w:rFonts w:cs="Aharoni"/>
          <w:b/>
          <w:i/>
          <w:sz w:val="24"/>
          <w:szCs w:val="24"/>
        </w:rPr>
        <w:t>To advance collaborative watershed planning and resource management in the Tulare Basin based on sound science and mutually identified needs for regional economic and ecological sustainability.</w:t>
      </w:r>
    </w:p>
    <w:p>
      <w:pPr>
        <w:pStyle w:val="NoSpacing"/>
        <w:rPr>
          <w:rFonts w:cs="Aharoni"/>
          <w:b/>
          <w:b/>
          <w:i/>
          <w:i/>
          <w:sz w:val="24"/>
          <w:szCs w:val="24"/>
        </w:rPr>
      </w:pPr>
      <w:r>
        <w:rPr>
          <w:rFonts w:cs="Aharoni"/>
          <w:b/>
          <w:i/>
          <w:sz w:val="24"/>
          <w:szCs w:val="24"/>
        </w:rPr>
      </w:r>
    </w:p>
    <w:p>
      <w:pPr>
        <w:pStyle w:val="NoSpacing"/>
        <w:rPr>
          <w:b/>
          <w:b/>
          <w:i/>
          <w:i/>
          <w:sz w:val="32"/>
          <w:szCs w:val="32"/>
        </w:rPr>
      </w:pPr>
      <w:r>
        <w:rPr>
          <w:b/>
          <w:i/>
          <w:sz w:val="32"/>
          <w:szCs w:val="32"/>
        </w:rPr>
        <w:t>Ground Rules</w:t>
      </w:r>
    </w:p>
    <w:p>
      <w:pPr>
        <w:pStyle w:val="ListParagraph"/>
        <w:numPr>
          <w:ilvl w:val="0"/>
          <w:numId w:val="1"/>
        </w:numPr>
        <w:rPr>
          <w:sz w:val="24"/>
          <w:szCs w:val="24"/>
        </w:rPr>
      </w:pPr>
      <w:r>
        <w:rPr>
          <w:sz w:val="24"/>
          <w:szCs w:val="24"/>
        </w:rPr>
        <w:t>Participate and show respect for other members and their time</w:t>
      </w:r>
    </w:p>
    <w:p>
      <w:pPr>
        <w:pStyle w:val="ListParagraph"/>
        <w:numPr>
          <w:ilvl w:val="0"/>
          <w:numId w:val="1"/>
        </w:numPr>
        <w:rPr>
          <w:sz w:val="24"/>
          <w:szCs w:val="24"/>
        </w:rPr>
      </w:pPr>
      <w:r>
        <w:rPr>
          <w:sz w:val="24"/>
          <w:szCs w:val="24"/>
        </w:rPr>
        <w:t>Speak one at a time</w:t>
      </w:r>
    </w:p>
    <w:p>
      <w:pPr>
        <w:pStyle w:val="ListParagraph"/>
        <w:numPr>
          <w:ilvl w:val="0"/>
          <w:numId w:val="1"/>
        </w:numPr>
        <w:rPr>
          <w:sz w:val="24"/>
          <w:szCs w:val="24"/>
        </w:rPr>
      </w:pPr>
      <w:r>
        <w:rPr>
          <w:sz w:val="24"/>
          <w:szCs w:val="24"/>
        </w:rPr>
        <w:t>Share relevant information</w:t>
      </w:r>
    </w:p>
    <w:p>
      <w:pPr>
        <w:pStyle w:val="ListParagraph"/>
        <w:numPr>
          <w:ilvl w:val="0"/>
          <w:numId w:val="1"/>
        </w:numPr>
        <w:rPr>
          <w:sz w:val="24"/>
          <w:szCs w:val="24"/>
        </w:rPr>
      </w:pPr>
      <w:r>
        <w:rPr>
          <w:sz w:val="24"/>
          <w:szCs w:val="24"/>
        </w:rPr>
        <w:t>Be concise</w:t>
      </w:r>
    </w:p>
    <w:p>
      <w:pPr>
        <w:pStyle w:val="ListParagraph"/>
        <w:numPr>
          <w:ilvl w:val="0"/>
          <w:numId w:val="1"/>
        </w:numPr>
        <w:rPr>
          <w:sz w:val="24"/>
          <w:szCs w:val="24"/>
        </w:rPr>
      </w:pPr>
      <w:r>
        <w:rPr>
          <w:sz w:val="24"/>
          <w:szCs w:val="24"/>
        </w:rPr>
        <w:t>Express concerns and interests (not positions)</w:t>
      </w:r>
    </w:p>
    <w:p>
      <w:pPr>
        <w:pStyle w:val="ListParagraph"/>
        <w:numPr>
          <w:ilvl w:val="0"/>
          <w:numId w:val="1"/>
        </w:numPr>
        <w:rPr>
          <w:sz w:val="24"/>
          <w:szCs w:val="24"/>
        </w:rPr>
      </w:pPr>
      <w:r>
        <w:rPr>
          <w:sz w:val="24"/>
          <w:szCs w:val="24"/>
        </w:rPr>
        <w:t>Be solution-oriented</w:t>
      </w:r>
    </w:p>
    <w:p>
      <w:pPr>
        <w:pStyle w:val="ListParagraph"/>
        <w:numPr>
          <w:ilvl w:val="0"/>
          <w:numId w:val="1"/>
        </w:numPr>
        <w:rPr>
          <w:sz w:val="24"/>
          <w:szCs w:val="24"/>
        </w:rPr>
      </w:pPr>
      <w:r>
        <w:rPr>
          <w:sz w:val="24"/>
          <w:szCs w:val="24"/>
        </w:rPr>
        <w:t>Draw on each other’s experience</w:t>
      </w:r>
    </w:p>
    <w:p>
      <w:pPr>
        <w:pStyle w:val="ListParagraph"/>
        <w:numPr>
          <w:ilvl w:val="0"/>
          <w:numId w:val="1"/>
        </w:numPr>
        <w:rPr>
          <w:sz w:val="24"/>
          <w:szCs w:val="24"/>
        </w:rPr>
      </w:pPr>
      <w:r>
        <w:rPr>
          <w:sz w:val="24"/>
          <w:szCs w:val="24"/>
        </w:rPr>
        <w:t>Limit sidebar conversations</w:t>
      </w:r>
    </w:p>
    <w:p>
      <w:pPr>
        <w:pStyle w:val="ListParagraph"/>
        <w:numPr>
          <w:ilvl w:val="0"/>
          <w:numId w:val="1"/>
        </w:numPr>
        <w:rPr>
          <w:sz w:val="24"/>
          <w:szCs w:val="24"/>
        </w:rPr>
      </w:pPr>
      <w:r>
        <w:rPr>
          <w:sz w:val="24"/>
          <w:szCs w:val="24"/>
        </w:rPr>
        <w:t>Focus on what CAN be changed (not on what cannot be changed)</w:t>
      </w:r>
    </w:p>
    <w:p>
      <w:pPr>
        <w:pStyle w:val="NoSpacing"/>
        <w:rPr>
          <w:b/>
          <w:b/>
          <w:i/>
          <w:i/>
          <w:sz w:val="32"/>
          <w:szCs w:val="32"/>
        </w:rPr>
      </w:pPr>
      <w:r>
        <w:rPr>
          <w:b/>
          <w:i/>
          <w:sz w:val="32"/>
          <w:szCs w:val="32"/>
        </w:rPr>
        <w:t>Subgroups</w:t>
      </w:r>
    </w:p>
    <w:p>
      <w:pPr>
        <w:pStyle w:val="NoSpacing"/>
        <w:rPr>
          <w:rFonts w:ascii="Calibri" w:hAnsi="Calibri"/>
          <w:b/>
          <w:b/>
          <w:sz w:val="24"/>
          <w:szCs w:val="24"/>
        </w:rPr>
      </w:pPr>
      <w:r>
        <w:rPr>
          <w:b/>
          <w:color w:val="C00000"/>
          <w:sz w:val="24"/>
          <w:szCs w:val="24"/>
        </w:rPr>
        <w:t>[Proposed]</w:t>
      </w:r>
      <w:r>
        <w:rPr>
          <w:b/>
          <w:sz w:val="24"/>
          <w:szCs w:val="24"/>
        </w:rPr>
        <w:t xml:space="preserve"> Purpose of Subgroups: </w:t>
      </w:r>
      <w:r>
        <w:rPr>
          <w:sz w:val="24"/>
          <w:szCs w:val="24"/>
        </w:rPr>
        <w:t>Topic-based groups comprised of people with expertise and interest in developing strategies and implementing projects to address the challenges related to the topic; the subgroups meet and/or provide input to the broader working group as funding and partnership opportunities arise. There is substantial overlap and it is recognized that subgroup members should communicate with others as appropriate when planning a project or event.</w:t>
      </w:r>
    </w:p>
    <w:p>
      <w:pPr>
        <w:pStyle w:val="NoSpacing"/>
        <w:ind w:left="720" w:hanging="0"/>
        <w:rPr/>
      </w:pPr>
      <w:r>
        <w:rPr/>
      </w:r>
    </w:p>
    <w:p>
      <w:pPr>
        <w:pStyle w:val="ListParagraph"/>
        <w:numPr>
          <w:ilvl w:val="0"/>
          <w:numId w:val="2"/>
        </w:numPr>
        <w:ind w:left="720" w:hanging="360"/>
        <w:rPr>
          <w:sz w:val="24"/>
          <w:szCs w:val="24"/>
        </w:rPr>
      </w:pPr>
      <w:r>
        <w:rPr>
          <w:sz w:val="24"/>
          <w:szCs w:val="24"/>
        </w:rPr>
        <w:t>Funding</w:t>
      </w:r>
    </w:p>
    <w:p>
      <w:pPr>
        <w:pStyle w:val="ListParagraph"/>
        <w:numPr>
          <w:ilvl w:val="0"/>
          <w:numId w:val="2"/>
        </w:numPr>
        <w:ind w:left="720" w:hanging="360"/>
        <w:rPr>
          <w:sz w:val="24"/>
          <w:szCs w:val="24"/>
        </w:rPr>
      </w:pPr>
      <w:r>
        <w:rPr>
          <w:sz w:val="24"/>
          <w:szCs w:val="24"/>
        </w:rPr>
        <w:t>Sustainable Groundwater and Surface Water</w:t>
      </w:r>
    </w:p>
    <w:p>
      <w:pPr>
        <w:pStyle w:val="ListParagraph"/>
        <w:numPr>
          <w:ilvl w:val="0"/>
          <w:numId w:val="2"/>
        </w:numPr>
        <w:ind w:left="720" w:hanging="360"/>
        <w:rPr>
          <w:sz w:val="24"/>
          <w:szCs w:val="24"/>
        </w:rPr>
      </w:pPr>
      <w:r>
        <w:rPr>
          <w:sz w:val="24"/>
          <w:szCs w:val="24"/>
        </w:rPr>
        <w:t>Extreme Events and Climate Change Resilience</w:t>
      </w:r>
    </w:p>
    <w:p>
      <w:pPr>
        <w:pStyle w:val="ListParagraph"/>
        <w:numPr>
          <w:ilvl w:val="0"/>
          <w:numId w:val="2"/>
        </w:numPr>
        <w:ind w:left="720" w:hanging="360"/>
        <w:rPr>
          <w:sz w:val="24"/>
          <w:szCs w:val="24"/>
        </w:rPr>
      </w:pPr>
      <w:r>
        <w:rPr>
          <w:sz w:val="24"/>
          <w:szCs w:val="24"/>
        </w:rPr>
        <w:t>Upper/Lower Watershed Connection: Education, Planning and Project Development</w:t>
      </w:r>
    </w:p>
    <w:p>
      <w:pPr>
        <w:pStyle w:val="ListParagraph"/>
        <w:numPr>
          <w:ilvl w:val="0"/>
          <w:numId w:val="2"/>
        </w:numPr>
        <w:ind w:left="720" w:hanging="360"/>
        <w:rPr>
          <w:sz w:val="24"/>
          <w:szCs w:val="24"/>
        </w:rPr>
      </w:pPr>
      <w:r>
        <w:rPr>
          <w:sz w:val="24"/>
          <w:szCs w:val="24"/>
        </w:rPr>
        <w:t>Regional Landscape-scale Project Prioritization and Implementation</w:t>
      </w:r>
    </w:p>
    <w:p>
      <w:pPr>
        <w:pStyle w:val="ListParagraph"/>
        <w:numPr>
          <w:ilvl w:val="0"/>
          <w:numId w:val="2"/>
        </w:numPr>
        <w:ind w:left="720" w:hanging="360"/>
        <w:rPr>
          <w:sz w:val="24"/>
          <w:szCs w:val="24"/>
        </w:rPr>
      </w:pPr>
      <w:r>
        <w:rPr>
          <w:sz w:val="24"/>
          <w:szCs w:val="24"/>
        </w:rPr>
        <w:t>Wetland and Wildlife Habitat Protection and Restoration</w:t>
      </w:r>
    </w:p>
    <w:p>
      <w:pPr>
        <w:pStyle w:val="ListParagraph"/>
        <w:numPr>
          <w:ilvl w:val="0"/>
          <w:numId w:val="2"/>
        </w:numPr>
        <w:ind w:left="720" w:hanging="360"/>
        <w:rPr>
          <w:sz w:val="24"/>
          <w:szCs w:val="24"/>
        </w:rPr>
      </w:pPr>
      <w:r>
        <w:rPr>
          <w:sz w:val="24"/>
          <w:szCs w:val="24"/>
        </w:rPr>
        <w:t>Tribal Community Support for Addressing Water-related Challenges</w:t>
      </w:r>
    </w:p>
    <w:p>
      <w:pPr>
        <w:pStyle w:val="ListParagraph"/>
        <w:numPr>
          <w:ilvl w:val="0"/>
          <w:numId w:val="2"/>
        </w:numPr>
        <w:spacing w:before="0" w:after="200"/>
        <w:ind w:left="720" w:hanging="360"/>
        <w:contextualSpacing/>
        <w:rPr/>
      </w:pPr>
      <w:r>
        <w:rPr>
          <w:sz w:val="24"/>
          <w:szCs w:val="24"/>
        </w:rPr>
        <w:t>Disadvantaged Community Support for Water-Related Challenges</w:t>
      </w:r>
    </w:p>
    <w:sectPr>
      <w:type w:val="nextPage"/>
      <w:pgSz w:w="12240" w:h="15840"/>
      <w:pgMar w:left="1440" w:right="1440" w:header="0" w:top="900" w:footer="0" w:bottom="63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71195"/>
    <w:rPr>
      <w:rFonts w:ascii="Tahoma" w:hAnsi="Tahoma" w:cs="Tahoma"/>
      <w:sz w:val="16"/>
      <w:szCs w:val="16"/>
    </w:rPr>
  </w:style>
  <w:style w:type="character" w:styleId="InternetLink">
    <w:name w:val="Internet Link"/>
    <w:basedOn w:val="DefaultParagraphFont"/>
    <w:uiPriority w:val="99"/>
    <w:unhideWhenUsed/>
    <w:rsid w:val="00f71195"/>
    <w:rPr>
      <w:color w:val="0000FF" w:themeColor="hyperlink"/>
      <w:u w:val="single"/>
    </w:rPr>
  </w:style>
  <w:style w:type="character" w:styleId="HeaderChar" w:customStyle="1">
    <w:name w:val="Header Char"/>
    <w:basedOn w:val="DefaultParagraphFont"/>
    <w:link w:val="Header"/>
    <w:uiPriority w:val="99"/>
    <w:qFormat/>
    <w:rsid w:val="008e0401"/>
    <w:rPr/>
  </w:style>
  <w:style w:type="character" w:styleId="FooterChar" w:customStyle="1">
    <w:name w:val="Footer Char"/>
    <w:basedOn w:val="DefaultParagraphFont"/>
    <w:link w:val="Footer"/>
    <w:uiPriority w:val="99"/>
    <w:qFormat/>
    <w:rsid w:val="008e0401"/>
    <w:rPr/>
  </w:style>
  <w:style w:type="character" w:styleId="FollowedHyperlink">
    <w:name w:val="FollowedHyperlink"/>
    <w:basedOn w:val="DefaultParagraphFont"/>
    <w:uiPriority w:val="99"/>
    <w:semiHidden/>
    <w:unhideWhenUsed/>
    <w:qFormat/>
    <w:rsid w:val="00af3ee4"/>
    <w:rPr>
      <w:color w:val="800080" w:themeColor="followedHyperlink"/>
      <w:u w:val="single"/>
    </w:rPr>
  </w:style>
  <w:style w:type="character" w:styleId="ListLabel1">
    <w:name w:val="ListLabel 1"/>
    <w:qFormat/>
    <w:rPr>
      <w:rFonts w:cs="Courier New"/>
    </w:rPr>
  </w:style>
  <w:style w:type="character" w:styleId="ListLabel2">
    <w:name w:val="ListLabel 2"/>
    <w:qFormat/>
    <w:rPr>
      <w:rFonts w:eastAsia="Calibri" w:cs="Calibri"/>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71195"/>
    <w:pPr>
      <w:spacing w:lineRule="auto" w:line="240" w:before="0" w:after="0"/>
    </w:pPr>
    <w:rPr>
      <w:rFonts w:ascii="Tahoma" w:hAnsi="Tahoma" w:cs="Tahoma"/>
      <w:sz w:val="16"/>
      <w:szCs w:val="16"/>
    </w:rPr>
  </w:style>
  <w:style w:type="paragraph" w:styleId="NoSpacing">
    <w:name w:val="No Spacing"/>
    <w:uiPriority w:val="1"/>
    <w:qFormat/>
    <w:rsid w:val="00f7119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ListParagraph">
    <w:name w:val="List Paragraph"/>
    <w:basedOn w:val="Normal"/>
    <w:uiPriority w:val="34"/>
    <w:qFormat/>
    <w:rsid w:val="000057c3"/>
    <w:pPr>
      <w:spacing w:before="0" w:after="200"/>
      <w:ind w:left="720" w:hanging="0"/>
      <w:contextualSpacing/>
    </w:pPr>
    <w:rPr/>
  </w:style>
  <w:style w:type="paragraph" w:styleId="Header">
    <w:name w:val="Header"/>
    <w:basedOn w:val="Normal"/>
    <w:link w:val="HeaderChar"/>
    <w:uiPriority w:val="99"/>
    <w:unhideWhenUsed/>
    <w:rsid w:val="008e04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e0401"/>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ources.webex.com/resources/j.php?MTID=mc8a0ae78c95edeb96cdc3e37ae6f81f9"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LibreOffice/5.0.3.2$Windows_X86_64 LibreOffice_project/e5f16313668ac592c1bfb310f4390624e3dbfb75</Application>
  <Paragraphs>5</Paragraphs>
  <Company>CA Department of Water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2016-01-06T19:49:00Z</dcterms:created>
  <dc:creator>mselmon</dc:creator>
  <dc:language>en-US</dc:language>
  <cp:lastModifiedBy>mselmon</cp:lastModifiedBy>
  <cp:lastPrinted>2016-01-06T19:04:00Z</cp:lastPrinted>
  <dcterms:modified xsi:type="dcterms:W3CDTF">2016-01-06T19:49:00Z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 Department of Water Resources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