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Tulare Basin Watershed Connections Workgroup Agenda</w:t>
      </w:r>
    </w:p>
    <w:p>
      <w:pPr>
        <w:pStyle w:val="NoSpacing"/>
        <w:jc w:val="center"/>
        <w:rPr>
          <w:b/>
          <w:b/>
          <w:sz w:val="24"/>
          <w:szCs w:val="24"/>
        </w:rPr>
      </w:pPr>
      <w:r>
        <w:rPr>
          <w:b/>
          <w:sz w:val="24"/>
          <w:szCs w:val="24"/>
        </w:rPr>
        <w:t>January 26</w:t>
      </w:r>
      <w:r>
        <w:rPr>
          <w:b/>
          <w:sz w:val="24"/>
          <w:szCs w:val="24"/>
          <w:vertAlign w:val="superscript"/>
        </w:rPr>
        <w:t>th</w:t>
      </w:r>
      <w:r>
        <w:rPr>
          <w:b/>
          <w:sz w:val="24"/>
          <w:szCs w:val="24"/>
        </w:rPr>
        <w:t>, 2018</w:t>
      </w:r>
    </w:p>
    <w:p>
      <w:pPr>
        <w:pStyle w:val="Normal"/>
        <w:rPr>
          <w:sz w:val="24"/>
          <w:szCs w:val="24"/>
        </w:rPr>
      </w:pPr>
      <w:r>
        <w:rPr>
          <w:sz w:val="24"/>
          <w:szCs w:val="24"/>
        </w:rPr>
      </w:r>
    </w:p>
    <w:p>
      <w:pPr>
        <w:pStyle w:val="NoSpacing"/>
        <w:rPr>
          <w:sz w:val="24"/>
          <w:szCs w:val="24"/>
        </w:rPr>
      </w:pPr>
      <w:r>
        <w:rPr>
          <w:b/>
          <w:sz w:val="24"/>
          <w:szCs w:val="24"/>
        </w:rPr>
        <w:t>Location</w:t>
      </w:r>
      <w:r>
        <w:rPr>
          <w:sz w:val="24"/>
          <w:szCs w:val="24"/>
        </w:rPr>
        <w:t>: DWR South Central Region Office @ 3374 E. Shields Ave, Fresno</w:t>
      </w:r>
    </w:p>
    <w:p>
      <w:pPr>
        <w:pStyle w:val="NoSpacing"/>
        <w:rPr>
          <w:sz w:val="24"/>
          <w:szCs w:val="24"/>
        </w:rPr>
      </w:pPr>
      <w:r>
        <w:rPr>
          <w:b/>
          <w:sz w:val="24"/>
          <w:szCs w:val="24"/>
        </w:rPr>
        <w:t>Time:</w:t>
      </w:r>
      <w:r>
        <w:rPr>
          <w:sz w:val="24"/>
          <w:szCs w:val="24"/>
        </w:rPr>
        <w:t xml:space="preserve"> 9:00 – 12:00 </w:t>
      </w:r>
    </w:p>
    <w:p>
      <w:pPr>
        <w:pStyle w:val="NoSpacing"/>
        <w:rPr/>
      </w:pPr>
      <w:r>
        <w:rPr/>
        <w:t>Call-in Number: (916) 573-2034; Conference ID: 58017456</w:t>
      </w:r>
    </w:p>
    <w:p>
      <w:pPr>
        <w:pStyle w:val="NoSpacing"/>
        <w:rPr>
          <w:b/>
          <w:b/>
          <w:sz w:val="20"/>
          <w:szCs w:val="20"/>
        </w:rPr>
      </w:pPr>
      <w:r>
        <w:rPr>
          <w:b/>
          <w:sz w:val="20"/>
          <w:szCs w:val="20"/>
        </w:rPr>
      </w:r>
    </w:p>
    <w:p>
      <w:pPr>
        <w:pStyle w:val="Normal"/>
        <w:rPr>
          <w:b/>
          <w:b/>
          <w:sz w:val="24"/>
          <w:szCs w:val="24"/>
        </w:rPr>
      </w:pPr>
      <w:bookmarkStart w:id="0" w:name="_GoBack"/>
      <w:bookmarkEnd w:id="0"/>
      <w:r>
        <w:rPr>
          <w:b/>
          <w:sz w:val="24"/>
          <w:szCs w:val="24"/>
        </w:rPr>
        <w:t>Meeting Agenda</w:t>
      </w:r>
    </w:p>
    <w:p>
      <w:pPr>
        <w:pStyle w:val="Normal"/>
        <w:rPr>
          <w:sz w:val="24"/>
          <w:szCs w:val="24"/>
        </w:rPr>
      </w:pPr>
      <w:r>
        <w:rPr>
          <w:sz w:val="24"/>
          <w:szCs w:val="24"/>
        </w:rPr>
        <w:t xml:space="preserve">9:00 - 9:05 </w:t>
        <w:tab/>
      </w:r>
      <w:r>
        <w:rPr>
          <w:b/>
          <w:sz w:val="24"/>
          <w:szCs w:val="24"/>
        </w:rPr>
        <w:t>Introductions and overview</w:t>
      </w:r>
      <w:r>
        <w:rPr>
          <w:sz w:val="24"/>
          <w:szCs w:val="24"/>
        </w:rPr>
        <w:t xml:space="preserve"> of agenda </w:t>
      </w:r>
    </w:p>
    <w:p>
      <w:pPr>
        <w:pStyle w:val="Normal"/>
        <w:ind w:left="1440" w:hanging="1440"/>
        <w:rPr>
          <w:sz w:val="24"/>
          <w:szCs w:val="24"/>
        </w:rPr>
      </w:pPr>
      <w:r>
        <w:rPr>
          <w:sz w:val="24"/>
          <w:szCs w:val="24"/>
        </w:rPr>
        <w:t>9:05 - 9:10</w:t>
        <w:tab/>
      </w:r>
      <w:r>
        <w:rPr>
          <w:b/>
          <w:sz w:val="24"/>
          <w:szCs w:val="24"/>
        </w:rPr>
        <w:t>Brief review of outcomes</w:t>
      </w:r>
      <w:r>
        <w:rPr>
          <w:sz w:val="24"/>
          <w:szCs w:val="24"/>
        </w:rPr>
        <w:t xml:space="preserve"> from last TB WCW meeting</w:t>
      </w:r>
    </w:p>
    <w:p>
      <w:pPr>
        <w:pStyle w:val="NoSpacing"/>
        <w:rPr>
          <w:sz w:val="24"/>
          <w:szCs w:val="24"/>
        </w:rPr>
      </w:pPr>
      <w:r>
        <w:rPr>
          <w:sz w:val="24"/>
          <w:szCs w:val="24"/>
        </w:rPr>
        <w:t>9:10 – 9:50</w:t>
      </w:r>
      <w:r>
        <w:rPr>
          <w:b/>
          <w:sz w:val="24"/>
          <w:szCs w:val="24"/>
        </w:rPr>
        <w:tab/>
        <w:t xml:space="preserve">Update on </w:t>
      </w:r>
      <w:r>
        <w:rPr>
          <w:b/>
          <w:i/>
          <w:sz w:val="24"/>
          <w:szCs w:val="24"/>
        </w:rPr>
        <w:t>Headwaters to Groundwater Symposium</w:t>
      </w:r>
      <w:r>
        <w:rPr>
          <w:b/>
          <w:sz w:val="24"/>
          <w:szCs w:val="24"/>
        </w:rPr>
        <w:t xml:space="preserve"> </w:t>
      </w:r>
      <w:r>
        <w:rPr>
          <w:sz w:val="24"/>
          <w:szCs w:val="24"/>
        </w:rPr>
        <w:t>(Michelle, Sarah, others)</w:t>
      </w:r>
    </w:p>
    <w:p>
      <w:pPr>
        <w:pStyle w:val="NoSpacing"/>
        <w:numPr>
          <w:ilvl w:val="0"/>
          <w:numId w:val="5"/>
        </w:numPr>
        <w:rPr>
          <w:sz w:val="24"/>
          <w:szCs w:val="24"/>
        </w:rPr>
      </w:pPr>
      <w:r>
        <w:rPr>
          <w:sz w:val="24"/>
          <w:szCs w:val="24"/>
        </w:rPr>
        <w:t>Survey responses</w:t>
      </w:r>
    </w:p>
    <w:p>
      <w:pPr>
        <w:pStyle w:val="NoSpacing"/>
        <w:numPr>
          <w:ilvl w:val="0"/>
          <w:numId w:val="5"/>
        </w:numPr>
        <w:rPr>
          <w:sz w:val="24"/>
          <w:szCs w:val="24"/>
        </w:rPr>
      </w:pPr>
      <w:r>
        <w:rPr>
          <w:sz w:val="24"/>
          <w:szCs w:val="24"/>
        </w:rPr>
        <w:t>Next steps in 2018 (regionally-specific workshops?)</w:t>
      </w:r>
    </w:p>
    <w:p>
      <w:pPr>
        <w:pStyle w:val="NoSpacing"/>
        <w:ind w:left="2160" w:hanging="0"/>
        <w:rPr>
          <w:b/>
          <w:b/>
          <w:sz w:val="24"/>
          <w:szCs w:val="24"/>
        </w:rPr>
      </w:pPr>
      <w:r>
        <w:rPr>
          <w:b/>
          <w:sz w:val="24"/>
          <w:szCs w:val="24"/>
        </w:rPr>
      </w:r>
    </w:p>
    <w:p>
      <w:pPr>
        <w:pStyle w:val="NoSpacing"/>
        <w:ind w:left="1440" w:hanging="1440"/>
        <w:rPr>
          <w:sz w:val="24"/>
          <w:szCs w:val="24"/>
        </w:rPr>
      </w:pPr>
      <w:r>
        <w:rPr>
          <w:sz w:val="24"/>
          <w:szCs w:val="24"/>
        </w:rPr>
        <w:t>9:50 – 10:30</w:t>
        <w:tab/>
      </w:r>
      <w:r>
        <w:rPr>
          <w:b/>
          <w:sz w:val="24"/>
          <w:szCs w:val="24"/>
        </w:rPr>
        <w:t>Ongoing</w:t>
      </w:r>
      <w:r>
        <w:rPr>
          <w:sz w:val="24"/>
          <w:szCs w:val="24"/>
        </w:rPr>
        <w:t xml:space="preserve"> </w:t>
      </w:r>
      <w:r>
        <w:rPr>
          <w:b/>
          <w:sz w:val="24"/>
          <w:szCs w:val="24"/>
        </w:rPr>
        <w:t>Project Updates</w:t>
      </w:r>
    </w:p>
    <w:p>
      <w:pPr>
        <w:pStyle w:val="NoSpacing"/>
        <w:numPr>
          <w:ilvl w:val="0"/>
          <w:numId w:val="4"/>
        </w:numPr>
        <w:rPr>
          <w:sz w:val="24"/>
          <w:szCs w:val="24"/>
        </w:rPr>
      </w:pPr>
      <w:r>
        <w:rPr>
          <w:b/>
          <w:sz w:val="24"/>
          <w:szCs w:val="24"/>
        </w:rPr>
        <w:t xml:space="preserve">Southern Sierra IRWM Projects </w:t>
      </w:r>
      <w:r>
        <w:rPr>
          <w:sz w:val="24"/>
          <w:szCs w:val="24"/>
        </w:rPr>
        <w:t>(Bobby Kamansky – Kamansky Ecological Consulting/SSIRWMG)</w:t>
      </w:r>
    </w:p>
    <w:p>
      <w:pPr>
        <w:pStyle w:val="NoSpacing"/>
        <w:numPr>
          <w:ilvl w:val="1"/>
          <w:numId w:val="4"/>
        </w:numPr>
        <w:rPr>
          <w:sz w:val="24"/>
          <w:szCs w:val="24"/>
        </w:rPr>
      </w:pPr>
      <w:r>
        <w:rPr>
          <w:b/>
          <w:sz w:val="24"/>
          <w:szCs w:val="24"/>
        </w:rPr>
        <w:t>2018 WaterSMART grant</w:t>
      </w:r>
    </w:p>
    <w:p>
      <w:pPr>
        <w:pStyle w:val="NoSpacing"/>
        <w:numPr>
          <w:ilvl w:val="0"/>
          <w:numId w:val="4"/>
        </w:numPr>
        <w:rPr>
          <w:sz w:val="24"/>
          <w:szCs w:val="24"/>
        </w:rPr>
      </w:pPr>
      <w:r>
        <w:rPr>
          <w:b/>
          <w:sz w:val="24"/>
          <w:szCs w:val="24"/>
        </w:rPr>
        <w:t>Others?</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10:30 – 10:40</w:t>
        <w:tab/>
      </w:r>
      <w:r>
        <w:rPr>
          <w:b/>
          <w:i/>
          <w:sz w:val="24"/>
          <w:szCs w:val="24"/>
        </w:rPr>
        <w:t>Break</w:t>
      </w:r>
    </w:p>
    <w:p>
      <w:pPr>
        <w:pStyle w:val="NoSpacing"/>
        <w:rPr>
          <w:sz w:val="24"/>
          <w:szCs w:val="24"/>
        </w:rPr>
      </w:pPr>
      <w:r>
        <w:rPr>
          <w:sz w:val="24"/>
          <w:szCs w:val="24"/>
        </w:rPr>
      </w:r>
    </w:p>
    <w:p>
      <w:pPr>
        <w:pStyle w:val="NoSpacing"/>
        <w:ind w:left="1440" w:hanging="1440"/>
        <w:rPr>
          <w:sz w:val="24"/>
          <w:szCs w:val="24"/>
        </w:rPr>
      </w:pPr>
      <w:r>
        <w:rPr>
          <w:sz w:val="24"/>
          <w:szCs w:val="24"/>
        </w:rPr>
        <w:t>10:40 – 10:55</w:t>
        <w:tab/>
      </w:r>
      <w:r>
        <w:rPr>
          <w:b/>
          <w:sz w:val="24"/>
          <w:szCs w:val="24"/>
        </w:rPr>
        <w:t>Wetland/Wildlife Habitat Protection Subgroup and SGMA</w:t>
        <w:tab/>
        <w:t xml:space="preserve"> </w:t>
      </w:r>
      <w:r>
        <w:rPr>
          <w:sz w:val="24"/>
          <w:szCs w:val="24"/>
        </w:rPr>
        <w:t>(Scott Sellers, EDF)</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10:55 – 11:30</w:t>
        <w:tab/>
      </w:r>
      <w:r>
        <w:rPr>
          <w:b/>
          <w:sz w:val="24"/>
          <w:szCs w:val="24"/>
        </w:rPr>
        <w:t xml:space="preserve">Draft WCW Charter and Strategic Plan discussion </w:t>
      </w:r>
      <w:r>
        <w:rPr>
          <w:sz w:val="24"/>
          <w:szCs w:val="24"/>
        </w:rPr>
        <w:t>(All)</w:t>
      </w:r>
    </w:p>
    <w:p>
      <w:pPr>
        <w:pStyle w:val="NoSpacing"/>
        <w:rPr>
          <w:sz w:val="24"/>
          <w:szCs w:val="24"/>
        </w:rPr>
      </w:pPr>
      <w:r>
        <w:rPr>
          <w:sz w:val="24"/>
          <w:szCs w:val="24"/>
        </w:rPr>
      </w:r>
    </w:p>
    <w:p>
      <w:pPr>
        <w:pStyle w:val="NoSpacing"/>
        <w:ind w:left="1440" w:hanging="1440"/>
        <w:rPr>
          <w:sz w:val="24"/>
          <w:szCs w:val="24"/>
        </w:rPr>
      </w:pPr>
      <w:r>
        <w:rPr>
          <w:sz w:val="24"/>
          <w:szCs w:val="24"/>
        </w:rPr>
        <w:t>11:30 – 11:55</w:t>
        <w:tab/>
      </w:r>
      <w:r>
        <w:rPr>
          <w:b/>
          <w:sz w:val="24"/>
          <w:szCs w:val="24"/>
        </w:rPr>
        <w:t>Partner updates and</w:t>
      </w:r>
      <w:r>
        <w:rPr>
          <w:sz w:val="24"/>
          <w:szCs w:val="24"/>
        </w:rPr>
        <w:t xml:space="preserve"> </w:t>
      </w:r>
      <w:r>
        <w:rPr>
          <w:b/>
        </w:rPr>
        <w:t>Outreach Activities</w:t>
      </w:r>
    </w:p>
    <w:p>
      <w:pPr>
        <w:pStyle w:val="NoSpacing"/>
        <w:numPr>
          <w:ilvl w:val="0"/>
          <w:numId w:val="3"/>
        </w:numPr>
        <w:rPr/>
      </w:pPr>
      <w:r>
        <w:rPr/>
        <w:t>Tulare Basin Watershed Connections Newsletter (Dezaraye – Tulare Basin Wildlife Partners)</w:t>
      </w:r>
    </w:p>
    <w:p>
      <w:pPr>
        <w:pStyle w:val="NoSpacing"/>
        <w:numPr>
          <w:ilvl w:val="0"/>
          <w:numId w:val="3"/>
        </w:numPr>
        <w:rPr/>
      </w:pPr>
      <w:r>
        <w:rPr/>
        <w:t>Others?</w:t>
      </w:r>
    </w:p>
    <w:p>
      <w:pPr>
        <w:pStyle w:val="NoSpacing"/>
        <w:rPr>
          <w:sz w:val="24"/>
          <w:szCs w:val="24"/>
        </w:rPr>
      </w:pPr>
      <w:r>
        <w:rPr>
          <w:sz w:val="24"/>
          <w:szCs w:val="24"/>
        </w:rPr>
      </w:r>
    </w:p>
    <w:p>
      <w:pPr>
        <w:pStyle w:val="NoSpacing"/>
        <w:rPr>
          <w:sz w:val="24"/>
          <w:szCs w:val="24"/>
        </w:rPr>
      </w:pPr>
      <w:r>
        <w:rPr>
          <w:sz w:val="24"/>
          <w:szCs w:val="24"/>
        </w:rPr>
        <w:t>11:55 – 12:00</w:t>
        <w:tab/>
      </w:r>
      <w:r>
        <w:rPr>
          <w:b/>
          <w:sz w:val="24"/>
          <w:szCs w:val="24"/>
        </w:rPr>
        <w:t>Wrap-up/Next meeting</w:t>
      </w:r>
      <w:r>
        <w:rPr>
          <w:sz w:val="24"/>
          <w:szCs w:val="24"/>
        </w:rPr>
        <w:t xml:space="preserve"> </w:t>
      </w:r>
    </w:p>
    <w:p>
      <w:pPr>
        <w:pStyle w:val="NoSpacing"/>
        <w:jc w:val="center"/>
        <w:rPr>
          <w:sz w:val="24"/>
          <w:szCs w:val="24"/>
        </w:rPr>
      </w:pPr>
      <w:r>
        <w:rPr/>
        <w:drawing>
          <wp:inline distT="0" distB="0" distL="0" distR="0">
            <wp:extent cx="1895475" cy="1948180"/>
            <wp:effectExtent l="0" t="0" r="0" b="0"/>
            <wp:docPr id="1" name="Picture 2"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ulare Basin"/>
                    <pic:cNvPicPr>
                      <a:picLocks noChangeAspect="1" noChangeArrowheads="1"/>
                    </pic:cNvPicPr>
                  </pic:nvPicPr>
                  <pic:blipFill>
                    <a:blip r:embed="rId2"/>
                    <a:stretch>
                      <a:fillRect/>
                    </a:stretch>
                  </pic:blipFill>
                  <pic:spPr bwMode="auto">
                    <a:xfrm>
                      <a:off x="0" y="0"/>
                      <a:ext cx="1895475" cy="1948180"/>
                    </a:xfrm>
                    <a:prstGeom prst="rect">
                      <a:avLst/>
                    </a:prstGeom>
                  </pic:spPr>
                </pic:pic>
              </a:graphicData>
            </a:graphic>
          </wp:inline>
        </w:drawing>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rPr>
          <w:b/>
          <w:b/>
          <w:sz w:val="36"/>
          <w:szCs w:val="36"/>
        </w:rPr>
      </w:pPr>
      <w:r>
        <w:rPr>
          <w:b/>
          <w:sz w:val="36"/>
          <w:szCs w:val="36"/>
        </w:rPr>
        <w:t xml:space="preserve">Tulare Basin Watershed Connections Workgroup </w:t>
      </w:r>
    </w:p>
    <w:p>
      <w:pPr>
        <w:pStyle w:val="NoSpacing"/>
        <w:rPr>
          <w:b/>
          <w:b/>
          <w:sz w:val="24"/>
          <w:szCs w:val="24"/>
        </w:rPr>
      </w:pPr>
      <w:r>
        <w:rPr>
          <w:b/>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rFonts w:cs="Aharoni"/>
          <w:b/>
          <w:b/>
          <w:i/>
          <w:i/>
          <w:sz w:val="24"/>
          <w:szCs w:val="24"/>
        </w:rPr>
      </w:pPr>
      <w:r>
        <w:rPr>
          <w:rFonts w:cs="Aharoni"/>
          <w:b/>
          <w:i/>
          <w:sz w:val="24"/>
          <w:szCs w:val="24"/>
        </w:rPr>
      </w:r>
    </w:p>
    <w:p>
      <w:pPr>
        <w:pStyle w:val="NoSpacing"/>
        <w:rPr>
          <w:b/>
          <w:b/>
          <w:i/>
          <w:i/>
          <w:sz w:val="32"/>
          <w:szCs w:val="32"/>
        </w:rPr>
      </w:pPr>
      <w:r>
        <w:rPr>
          <w:b/>
          <w:i/>
          <w:sz w:val="32"/>
          <w:szCs w:val="32"/>
        </w:rPr>
        <w:t>Ground Rules</w:t>
      </w:r>
    </w:p>
    <w:p>
      <w:pPr>
        <w:pStyle w:val="ListParagraph"/>
        <w:numPr>
          <w:ilvl w:val="0"/>
          <w:numId w:val="1"/>
        </w:numPr>
        <w:rPr>
          <w:sz w:val="24"/>
          <w:szCs w:val="24"/>
        </w:rPr>
      </w:pPr>
      <w:r>
        <w:rPr>
          <w:sz w:val="24"/>
          <w:szCs w:val="24"/>
        </w:rPr>
        <w:t>Participate and show respect for other members and their time</w:t>
      </w:r>
    </w:p>
    <w:p>
      <w:pPr>
        <w:pStyle w:val="ListParagraph"/>
        <w:numPr>
          <w:ilvl w:val="0"/>
          <w:numId w:val="1"/>
        </w:numPr>
        <w:rPr>
          <w:sz w:val="24"/>
          <w:szCs w:val="24"/>
        </w:rPr>
      </w:pPr>
      <w:r>
        <w:rPr>
          <w:sz w:val="24"/>
          <w:szCs w:val="24"/>
        </w:rPr>
        <w:t>Speak one at a time</w:t>
      </w:r>
    </w:p>
    <w:p>
      <w:pPr>
        <w:pStyle w:val="ListParagraph"/>
        <w:numPr>
          <w:ilvl w:val="0"/>
          <w:numId w:val="1"/>
        </w:numPr>
        <w:rPr>
          <w:sz w:val="24"/>
          <w:szCs w:val="24"/>
        </w:rPr>
      </w:pPr>
      <w:r>
        <w:rPr>
          <w:sz w:val="24"/>
          <w:szCs w:val="24"/>
        </w:rPr>
        <w:t>Share relevant information</w:t>
      </w:r>
    </w:p>
    <w:p>
      <w:pPr>
        <w:pStyle w:val="ListParagraph"/>
        <w:numPr>
          <w:ilvl w:val="0"/>
          <w:numId w:val="1"/>
        </w:numPr>
        <w:rPr>
          <w:sz w:val="24"/>
          <w:szCs w:val="24"/>
        </w:rPr>
      </w:pPr>
      <w:r>
        <w:rPr>
          <w:sz w:val="24"/>
          <w:szCs w:val="24"/>
        </w:rPr>
        <w:t>Be concise</w:t>
      </w:r>
    </w:p>
    <w:p>
      <w:pPr>
        <w:pStyle w:val="ListParagraph"/>
        <w:numPr>
          <w:ilvl w:val="0"/>
          <w:numId w:val="1"/>
        </w:numPr>
        <w:rPr>
          <w:sz w:val="24"/>
          <w:szCs w:val="24"/>
        </w:rPr>
      </w:pPr>
      <w:r>
        <w:rPr>
          <w:sz w:val="24"/>
          <w:szCs w:val="24"/>
        </w:rPr>
        <w:t>Express concerns and interests (not positions)</w:t>
      </w:r>
    </w:p>
    <w:p>
      <w:pPr>
        <w:pStyle w:val="ListParagraph"/>
        <w:numPr>
          <w:ilvl w:val="0"/>
          <w:numId w:val="1"/>
        </w:numPr>
        <w:rPr>
          <w:sz w:val="24"/>
          <w:szCs w:val="24"/>
        </w:rPr>
      </w:pPr>
      <w:r>
        <w:rPr>
          <w:sz w:val="24"/>
          <w:szCs w:val="24"/>
        </w:rPr>
        <w:t>Be solution-oriented</w:t>
      </w:r>
    </w:p>
    <w:p>
      <w:pPr>
        <w:pStyle w:val="ListParagraph"/>
        <w:numPr>
          <w:ilvl w:val="0"/>
          <w:numId w:val="1"/>
        </w:numPr>
        <w:rPr>
          <w:sz w:val="24"/>
          <w:szCs w:val="24"/>
        </w:rPr>
      </w:pPr>
      <w:r>
        <w:rPr>
          <w:sz w:val="24"/>
          <w:szCs w:val="24"/>
        </w:rPr>
        <w:t>Draw on each other’s experience</w:t>
      </w:r>
    </w:p>
    <w:p>
      <w:pPr>
        <w:pStyle w:val="ListParagraph"/>
        <w:numPr>
          <w:ilvl w:val="0"/>
          <w:numId w:val="1"/>
        </w:numPr>
        <w:rPr>
          <w:sz w:val="24"/>
          <w:szCs w:val="24"/>
        </w:rPr>
      </w:pPr>
      <w:r>
        <w:rPr>
          <w:sz w:val="24"/>
          <w:szCs w:val="24"/>
        </w:rPr>
        <w:t>Limit sidebar conversations</w:t>
      </w:r>
    </w:p>
    <w:p>
      <w:pPr>
        <w:pStyle w:val="ListParagraph"/>
        <w:numPr>
          <w:ilvl w:val="0"/>
          <w:numId w:val="1"/>
        </w:numPr>
        <w:rPr>
          <w:sz w:val="24"/>
          <w:szCs w:val="24"/>
        </w:rPr>
      </w:pPr>
      <w:r>
        <w:rPr>
          <w:sz w:val="24"/>
          <w:szCs w:val="24"/>
        </w:rPr>
        <w:t>Focus on what CAN be changed (not on what cannot be changed)</w:t>
      </w:r>
    </w:p>
    <w:p>
      <w:pPr>
        <w:pStyle w:val="NoSpacing"/>
        <w:rPr>
          <w:b/>
          <w:b/>
          <w:i/>
          <w:i/>
          <w:sz w:val="32"/>
          <w:szCs w:val="32"/>
        </w:rPr>
      </w:pPr>
      <w:r>
        <w:rPr>
          <w:b/>
          <w:i/>
          <w:sz w:val="32"/>
          <w:szCs w:val="32"/>
        </w:rPr>
        <w:t>Subgroups</w:t>
      </w:r>
    </w:p>
    <w:p>
      <w:pPr>
        <w:pStyle w:val="NoSpacing"/>
        <w:rPr>
          <w:rFonts w:ascii="Calibri" w:hAnsi="Calibri"/>
          <w:b/>
          <w:b/>
          <w:sz w:val="24"/>
          <w:szCs w:val="24"/>
        </w:rPr>
      </w:pPr>
      <w:r>
        <w:rPr>
          <w:b/>
          <w:sz w:val="24"/>
          <w:szCs w:val="24"/>
        </w:rPr>
        <w:t xml:space="preserve">Purpose of Subgroups: </w:t>
      </w:r>
      <w:r>
        <w:rPr>
          <w:sz w:val="24"/>
          <w:szCs w:val="24"/>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Spacing"/>
        <w:ind w:left="720" w:hanging="0"/>
        <w:rPr/>
      </w:pPr>
      <w:r>
        <w:rPr/>
      </w:r>
    </w:p>
    <w:p>
      <w:pPr>
        <w:pStyle w:val="ListParagraph"/>
        <w:numPr>
          <w:ilvl w:val="0"/>
          <w:numId w:val="2"/>
        </w:numPr>
        <w:ind w:left="720" w:hanging="360"/>
        <w:rPr>
          <w:sz w:val="24"/>
          <w:szCs w:val="24"/>
        </w:rPr>
      </w:pPr>
      <w:r>
        <w:rPr>
          <w:sz w:val="24"/>
          <w:szCs w:val="24"/>
        </w:rPr>
        <w:t>Funding</w:t>
      </w:r>
    </w:p>
    <w:p>
      <w:pPr>
        <w:pStyle w:val="ListParagraph"/>
        <w:numPr>
          <w:ilvl w:val="0"/>
          <w:numId w:val="2"/>
        </w:numPr>
        <w:ind w:left="720" w:hanging="360"/>
        <w:rPr>
          <w:sz w:val="24"/>
          <w:szCs w:val="24"/>
        </w:rPr>
      </w:pPr>
      <w:r>
        <w:rPr>
          <w:sz w:val="24"/>
          <w:szCs w:val="24"/>
        </w:rPr>
        <w:t>Sustainable Groundwater and Surface Water</w:t>
      </w:r>
    </w:p>
    <w:p>
      <w:pPr>
        <w:pStyle w:val="ListParagraph"/>
        <w:numPr>
          <w:ilvl w:val="0"/>
          <w:numId w:val="2"/>
        </w:numPr>
        <w:ind w:left="720" w:hanging="360"/>
        <w:rPr>
          <w:sz w:val="24"/>
          <w:szCs w:val="24"/>
        </w:rPr>
      </w:pPr>
      <w:r>
        <w:rPr>
          <w:sz w:val="24"/>
          <w:szCs w:val="24"/>
        </w:rPr>
        <w:t>Extreme Events and Climate Change Resilience</w:t>
      </w:r>
    </w:p>
    <w:p>
      <w:pPr>
        <w:pStyle w:val="ListParagraph"/>
        <w:numPr>
          <w:ilvl w:val="0"/>
          <w:numId w:val="2"/>
        </w:numPr>
        <w:ind w:left="720" w:hanging="360"/>
        <w:rPr>
          <w:sz w:val="24"/>
          <w:szCs w:val="24"/>
        </w:rPr>
      </w:pPr>
      <w:r>
        <w:rPr>
          <w:sz w:val="24"/>
          <w:szCs w:val="24"/>
        </w:rPr>
        <w:t>Upper/Lower Watershed Connection: Education, Planning and Project Development</w:t>
      </w:r>
    </w:p>
    <w:p>
      <w:pPr>
        <w:pStyle w:val="ListParagraph"/>
        <w:numPr>
          <w:ilvl w:val="0"/>
          <w:numId w:val="2"/>
        </w:numPr>
        <w:ind w:left="720" w:hanging="360"/>
        <w:rPr>
          <w:sz w:val="24"/>
          <w:szCs w:val="24"/>
        </w:rPr>
      </w:pPr>
      <w:r>
        <w:rPr>
          <w:sz w:val="24"/>
          <w:szCs w:val="24"/>
        </w:rPr>
        <w:t>Regional Landscape-scale Project Prioritization and Implementation</w:t>
      </w:r>
    </w:p>
    <w:p>
      <w:pPr>
        <w:pStyle w:val="ListParagraph"/>
        <w:numPr>
          <w:ilvl w:val="0"/>
          <w:numId w:val="2"/>
        </w:numPr>
        <w:ind w:left="720" w:hanging="360"/>
        <w:rPr>
          <w:sz w:val="24"/>
          <w:szCs w:val="24"/>
        </w:rPr>
      </w:pPr>
      <w:r>
        <w:rPr>
          <w:sz w:val="24"/>
          <w:szCs w:val="24"/>
        </w:rPr>
        <w:t>Wetland and Wildlife Habitat Protection and Restoration</w:t>
      </w:r>
    </w:p>
    <w:p>
      <w:pPr>
        <w:pStyle w:val="ListParagraph"/>
        <w:numPr>
          <w:ilvl w:val="0"/>
          <w:numId w:val="2"/>
        </w:numPr>
        <w:ind w:left="720" w:hanging="360"/>
        <w:rPr>
          <w:sz w:val="24"/>
          <w:szCs w:val="24"/>
        </w:rPr>
      </w:pPr>
      <w:r>
        <w:rPr>
          <w:sz w:val="24"/>
          <w:szCs w:val="24"/>
        </w:rPr>
        <w:t>Tribal Community Support for Addressing Water-related Challenges</w:t>
      </w:r>
    </w:p>
    <w:p>
      <w:pPr>
        <w:pStyle w:val="ListParagraph"/>
        <w:numPr>
          <w:ilvl w:val="0"/>
          <w:numId w:val="2"/>
        </w:numPr>
        <w:spacing w:before="0" w:after="200"/>
        <w:ind w:left="720" w:hanging="360"/>
        <w:contextualSpacing/>
        <w:rPr/>
      </w:pPr>
      <w:r>
        <w:rPr>
          <w:sz w:val="24"/>
          <w:szCs w:val="24"/>
        </w:rPr>
        <w:t>Disadvantaged Community Support for Water-Related Challenges</w:t>
      </w:r>
    </w:p>
    <w:sectPr>
      <w:type w:val="nextPage"/>
      <w:pgSz w:w="12240" w:h="15840"/>
      <w:pgMar w:left="1440" w:right="1440" w:header="0" w:top="900" w:footer="0" w:bottom="3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Fonts w:cs="Courier New"/>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Fonts w:cs="Courier New"/>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Fonts w:cs="Courier New"/>
      </w:rPr>
    </w:lvl>
    <w:lvl w:ilvl="8">
      <w:start w:val="1"/>
      <w:numFmt w:val="bullet"/>
      <w:lvlText w:val=""/>
      <w:lvlJc w:val="left"/>
      <w:pPr>
        <w:ind w:left="7974" w:hanging="360"/>
      </w:pPr>
      <w:rPr>
        <w:rFonts w:ascii="Wingdings" w:hAnsi="Wingdings" w:cs="Wingdings" w:hint="default"/>
      </w:rPr>
    </w:lvl>
  </w:abstractNum>
  <w:abstractNum w:abstractNumId="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sz w:val="24"/>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5">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71195"/>
    <w:rPr>
      <w:rFonts w:ascii="Tahoma" w:hAnsi="Tahoma" w:cs="Tahoma"/>
      <w:sz w:val="16"/>
      <w:szCs w:val="16"/>
    </w:rPr>
  </w:style>
  <w:style w:type="character" w:styleId="InternetLink">
    <w:name w:val="Internet Link"/>
    <w:basedOn w:val="DefaultParagraphFont"/>
    <w:uiPriority w:val="99"/>
    <w:unhideWhenUsed/>
    <w:rsid w:val="00f71195"/>
    <w:rPr>
      <w:color w:val="0000FF" w:themeColor="hyperlink"/>
      <w:u w:val="single"/>
    </w:rPr>
  </w:style>
  <w:style w:type="character" w:styleId="HeaderChar" w:customStyle="1">
    <w:name w:val="Header Char"/>
    <w:basedOn w:val="DefaultParagraphFont"/>
    <w:link w:val="Header"/>
    <w:uiPriority w:val="99"/>
    <w:qFormat/>
    <w:rsid w:val="008e0401"/>
    <w:rPr/>
  </w:style>
  <w:style w:type="character" w:styleId="FooterChar" w:customStyle="1">
    <w:name w:val="Footer Char"/>
    <w:basedOn w:val="DefaultParagraphFont"/>
    <w:link w:val="Footer"/>
    <w:uiPriority w:val="99"/>
    <w:qFormat/>
    <w:rsid w:val="008e0401"/>
    <w:rPr/>
  </w:style>
  <w:style w:type="character" w:styleId="FollowedHyperlink">
    <w:name w:val="FollowedHyperlink"/>
    <w:basedOn w:val="DefaultParagraphFont"/>
    <w:uiPriority w:val="99"/>
    <w:semiHidden/>
    <w:unhideWhenUsed/>
    <w:qFormat/>
    <w:rsid w:val="00af3ee4"/>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71195"/>
    <w:pPr>
      <w:spacing w:lineRule="auto" w:line="240" w:before="0" w:after="0"/>
    </w:pPr>
    <w:rPr>
      <w:rFonts w:ascii="Tahoma" w:hAnsi="Tahoma" w:cs="Tahoma"/>
      <w:sz w:val="16"/>
      <w:szCs w:val="16"/>
    </w:rPr>
  </w:style>
  <w:style w:type="paragraph" w:styleId="NoSpacing">
    <w:name w:val="No Spacing"/>
    <w:uiPriority w:val="1"/>
    <w:qFormat/>
    <w:rsid w:val="00f7119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0057c3"/>
    <w:pPr>
      <w:spacing w:before="0" w:after="200"/>
      <w:ind w:left="720" w:hanging="0"/>
      <w:contextualSpacing/>
    </w:pPr>
    <w:rPr/>
  </w:style>
  <w:style w:type="paragraph" w:styleId="Header">
    <w:name w:val="Header"/>
    <w:basedOn w:val="Normal"/>
    <w:link w:val="HeaderChar"/>
    <w:uiPriority w:val="99"/>
    <w:unhideWhenUsed/>
    <w:rsid w:val="008e04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e040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LibreOffice/5.4.2.2$Windows_X86_64 LibreOffice_project/22b09f6418e8c2d508a9eaf86b2399209b0990f4</Application>
  <Pages>3</Pages>
  <Words>356</Words>
  <Characters>2164</Characters>
  <CharactersWithSpaces>2468</CharactersWithSpaces>
  <Paragraphs>45</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2017-12-19T17:36:00Z</dcterms:created>
  <dc:creator>mselmon</dc:creator>
  <dc:description/>
  <dc:language>en-US</dc:language>
  <cp:lastModifiedBy>Selmon, Michelle@DWR</cp:lastModifiedBy>
  <cp:lastPrinted>2017-12-19T17:32:00Z</cp:lastPrinted>
  <dcterms:modified xsi:type="dcterms:W3CDTF">2018-01-05T21:44:00Z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