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5715" distL="0" distR="0">
            <wp:extent cx="1952625" cy="3689985"/>
            <wp:effectExtent l="0" t="0" r="0" b="0"/>
            <wp:docPr id="3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3790950</wp:posOffset>
                </wp:positionH>
                <wp:positionV relativeFrom="page">
                  <wp:posOffset>1524000</wp:posOffset>
                </wp:positionV>
                <wp:extent cx="2781935" cy="2620010"/>
                <wp:effectExtent l="38100" t="38100" r="38100" b="47625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60" cy="2619360"/>
                        </a:xfrm>
                        <a:prstGeom prst="rect">
                          <a:avLst/>
                        </a:prstGeom>
                        <a:noFill/>
                        <a:ln w="76320">
                          <a:solidFill>
                            <a:srgbClr val="62242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360" w:before="0" w:after="0"/>
                              <w:jc w:val="center"/>
                              <w:rPr>
                                <w:rFonts w:ascii="Cambria" w:hAnsi="Cambria" w:eastAsia="" w:cs="" w:asciiTheme="majorHAnsi" w:cstheme="majorBidi" w:eastAsiaTheme="majorEastAsia" w:hAnsiTheme="majorHAnsi"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Tulare Basin 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jc w:val="center"/>
                              <w:rPr>
                                <w:rFonts w:ascii="Cambria" w:hAnsi="Cambria" w:eastAsia="" w:cs="" w:asciiTheme="majorHAnsi" w:cstheme="majorBidi" w:eastAsiaTheme="majorEastAsia" w:hAnsiTheme="majorHAnsi"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  <w:t>Watershed Connections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" w:cs="" w:ascii="Cambria" w:hAnsi="Cambria" w:asciiTheme="majorHAnsi" w:cstheme="majorBid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Goal: </w:t>
                            </w:r>
                            <w:r>
                              <w:rPr>
                                <w:rFonts w:eastAsia="" w:eastAsiaTheme="minorEastAsia"/>
                                <w:i/>
                                <w:i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To advance collaborative watershed planning and resource management in the Tulare Basin based on</w:t>
                            </w:r>
                            <w:r>
                              <w:rPr>
                                <w:rFonts w:eastAsia="" w:eastAsiaTheme="minorEastAsia"/>
                                <w:i/>
                                <w:iCs/>
                                <w:color w:val="17365D" w:themeColor="text2" w:themeShade="bf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eastAsia="" w:eastAsiaTheme="minorEastAsia"/>
                                <w:i/>
                                <w:i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sound science and mutually identified needs for regional economic and ecological sustainability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37160" rIns="137160"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t" style="position:absolute;margin-left:298.5pt;margin-top:120pt;width:218.95pt;height:206.2pt;mso-position-horizontal-relative:page;mso-position-vertical-relative:page">
                <w10:wrap type="square"/>
                <v:fill o:detectmouseclick="t" on="false"/>
                <v:stroke color="#622423" weight="76320" joinstyle="miter" endcap="flat"/>
                <v:textbox>
                  <w:txbxContent>
                    <w:p>
                      <w:pPr>
                        <w:pStyle w:val="FrameContents"/>
                        <w:spacing w:lineRule="auto" w:line="360" w:before="0" w:after="0"/>
                        <w:jc w:val="center"/>
                        <w:rPr>
                          <w:rFonts w:ascii="Cambria" w:hAnsi="Cambria" w:eastAsia="" w:cs="" w:asciiTheme="majorHAnsi" w:cstheme="majorBidi" w:eastAsiaTheme="majorEastAsia" w:hAnsiTheme="majorHAnsi"/>
                          <w:i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="" w:cs="" w:ascii="Cambria" w:hAnsi="Cambria" w:asciiTheme="majorHAnsi" w:cstheme="majorBidi" w:eastAsiaTheme="majorEastAsia" w:hAnsiTheme="majorHAnsi"/>
                          <w:i/>
                          <w:iCs/>
                          <w:sz w:val="28"/>
                          <w:szCs w:val="28"/>
                        </w:rPr>
                        <w:t xml:space="preserve">Tulare Basin 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jc w:val="center"/>
                        <w:rPr>
                          <w:rFonts w:ascii="Cambria" w:hAnsi="Cambria" w:eastAsia="" w:cs="" w:asciiTheme="majorHAnsi" w:cstheme="majorBidi" w:eastAsiaTheme="majorEastAsia" w:hAnsiTheme="majorHAnsi"/>
                          <w:i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="" w:cs="" w:ascii="Cambria" w:hAnsi="Cambria" w:asciiTheme="majorHAnsi" w:cstheme="majorBidi" w:eastAsiaTheme="majorEastAsia" w:hAnsiTheme="majorHAnsi"/>
                          <w:i/>
                          <w:iCs/>
                          <w:sz w:val="28"/>
                          <w:szCs w:val="28"/>
                        </w:rPr>
                        <w:t>Watershed Connections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" w:cs="" w:ascii="Cambria" w:hAnsi="Cambria" w:asciiTheme="majorHAnsi" w:cstheme="majorBidi" w:eastAsiaTheme="majorEastAsia" w:hAnsiTheme="majorHAnsi"/>
                          <w:i/>
                          <w:iCs/>
                          <w:sz w:val="28"/>
                          <w:szCs w:val="28"/>
                        </w:rPr>
                        <w:t xml:space="preserve">Goal: </w:t>
                      </w:r>
                      <w:r>
                        <w:rPr>
                          <w:rFonts w:eastAsia="" w:eastAsiaTheme="minorEastAsia"/>
                          <w:i/>
                          <w:iCs/>
                          <w:color w:val="17365D" w:themeColor="text2" w:themeShade="bf"/>
                          <w:sz w:val="24"/>
                          <w:szCs w:val="24"/>
                        </w:rPr>
                        <w:t>To advance collaborative watershed planning and resource management in the Tulare Basin based on</w:t>
                      </w:r>
                      <w:r>
                        <w:rPr>
                          <w:rFonts w:eastAsia="" w:eastAsiaTheme="minorEastAsia"/>
                          <w:i/>
                          <w:iCs/>
                          <w:color w:val="17365D" w:themeColor="text2" w:themeShade="bf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eastAsia="" w:eastAsiaTheme="minorEastAsia"/>
                          <w:i/>
                          <w:iCs/>
                          <w:color w:val="17365D" w:themeColor="text2" w:themeShade="bf"/>
                          <w:sz w:val="24"/>
                          <w:szCs w:val="24"/>
                        </w:rPr>
                        <w:t>sound science and mutually identified needs for regional economic and ecological sustainability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How can the Watershed Connections Workgroup partners assist GSAs?</w:t>
      </w:r>
    </w:p>
    <w:p>
      <w:pPr>
        <w:pStyle w:val="ListParagraph"/>
        <w:numPr>
          <w:ilvl w:val="0"/>
          <w:numId w:val="1"/>
        </w:numPr>
        <w:rPr/>
      </w:pPr>
      <w:bookmarkStart w:id="0" w:name="_GoBack"/>
      <w:bookmarkEnd w:id="0"/>
      <w:r>
        <w:rPr/>
        <w:t xml:space="preserve">Data: our partners have information to help fill data gaps for more informed decision-making </w:t>
      </w:r>
    </w:p>
    <w:p>
      <w:pPr>
        <w:pStyle w:val="ListParagraph"/>
        <w:numPr>
          <w:ilvl w:val="0"/>
          <w:numId w:val="1"/>
        </w:numPr>
        <w:rPr/>
      </w:pPr>
      <w:r>
        <w:rPr/>
        <w:t>Expertise with collaborative regional approaches</w:t>
      </w:r>
    </w:p>
    <w:p>
      <w:pPr>
        <w:pStyle w:val="ListParagraph"/>
        <w:numPr>
          <w:ilvl w:val="0"/>
          <w:numId w:val="1"/>
        </w:numPr>
        <w:rPr/>
      </w:pPr>
      <w:r>
        <w:rPr/>
        <w:t>Assist with stakeholder engagement</w:t>
      </w:r>
    </w:p>
    <w:p>
      <w:pPr>
        <w:pStyle w:val="ListParagraph"/>
        <w:numPr>
          <w:ilvl w:val="0"/>
          <w:numId w:val="1"/>
        </w:numPr>
        <w:rPr/>
      </w:pPr>
      <w:r>
        <w:rPr/>
        <w:t>Project identification re: groundwater recharge</w:t>
      </w:r>
    </w:p>
    <w:p>
      <w:pPr>
        <w:pStyle w:val="ListParagraph"/>
        <w:numPr>
          <w:ilvl w:val="0"/>
          <w:numId w:val="1"/>
        </w:numPr>
        <w:rPr/>
      </w:pPr>
      <w:r>
        <w:rPr/>
        <w:t>Provide ideas on ways to consider and incorporate relevant information about sustainability connections to: DACs, ecosystems, water quality, watershed restoration and management, climate change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Sample Q/As</w:t>
      </w:r>
    </w:p>
    <w:p>
      <w:pPr>
        <w:pStyle w:val="Normal"/>
        <w:rPr>
          <w:b/>
          <w:b/>
        </w:rPr>
      </w:pPr>
      <w:r>
        <w:rPr>
          <w:b/>
        </w:rPr>
        <w:t>How can my GSA consider current and future wildlife needs as we create a GSP?</w:t>
      </w:r>
    </w:p>
    <w:p>
      <w:pPr>
        <w:pStyle w:val="Normal"/>
        <w:rPr>
          <w:b/>
          <w:b/>
        </w:rPr>
      </w:pPr>
      <w:r>
        <w:rPr>
          <w:b/>
        </w:rPr>
        <w:t>How can my GSA improve conjunctive management of surface and groundwater?</w:t>
      </w:r>
    </w:p>
    <w:p>
      <w:pPr>
        <w:pStyle w:val="Normal"/>
        <w:rPr>
          <w:b/>
          <w:b/>
        </w:rPr>
      </w:pPr>
      <w:r>
        <w:rPr>
          <w:b/>
        </w:rPr>
        <w:t>What data is available on: habitat corridors, recharge areas that could also serve as habitat or ag land, etc….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634086310"/>
    </w:sdtPr>
    <w:sdtContent>
      <w:p>
        <w:pPr>
          <w:pStyle w:val="Header"/>
          <w:rPr/>
        </w:pPr>
        <w:r>
          <w:rPr/>
          <w:pict>
            <v:shapetype id="shapetype_136" coordsize="21600,21600" o:spt="136" adj="10800" path="m@9,l@10,em@11,21600l@12,21600e">
              <v:stroke joinstyle="miter"/>
              <v:formulas>
                <v:f eqn="val #0"/>
                <v:f eqn="sum @0 0 10800"/>
                <v:f eqn="sum @0 0 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handles>
                <v:h position="@0,21600"/>
              </v:handles>
            </v:shapetype>
            <v:shape id="PowerPlusWaterMarkObject357922611" fillcolor="silver" stroked="f" style="position:absolute;margin-left:3pt;margin-top:224.95pt;width:461.8pt;height:197.9pt;rotation:315;mso-position-horizontal:center;mso-position-vertical:center;mso-position-vertical-relative:margin" type="shapetype_136">
              <v:path textpathok="t"/>
              <v:textpath on="t" fitshape="t" string="SAMPLE" style="font-family:&quot;Calibri&quot;"/>
              <w10:wrap type="none"/>
              <v:fill o:detectmouseclick="t" type="solid" color2="#3f3f3f" opacity="0.5"/>
              <v:stroke color="#3465a4" joinstyle="round" endcap="flat"/>
            </v:shape>
          </w:pict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d5464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2227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2227b"/>
    <w:rPr/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54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46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c2227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2227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LibreOffice/5.0.3.2$Windows_X86_64 LibreOffice_project/e5f16313668ac592c1bfb310f4390624e3dbfb75</Application>
  <Paragraphs>1</Paragraphs>
  <Company>CA Department of Water Resources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2016-04-06T19:01:00Z</dcterms:created>
  <dc:creator>mselmon</dc:creator>
  <dc:language>en-US</dc:language>
  <cp:lastModifiedBy>mselmon</cp:lastModifiedBy>
  <dcterms:modified xsi:type="dcterms:W3CDTF">2016-04-21T17:28:00Z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 Department of Water Resources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